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60"/>
      </w:pPr>
      <w:r>
        <w:rPr>
          <w:b/>
          <w:sz w:val="32"/>
          <w:szCs w:val="32"/>
        </w:rPr>
        <w:t xml:space="preserve">Safeguarding governor visit and section 175 self-review</w:t>
      </w:r>
    </w:p>
    <w:p>
      <w:pPr>
        <w:spacing w:before="0" w:after="60"/>
      </w:pPr>
      <w:r>
        <w:rPr>
          <w:b/>
          <w:color w:val="912018"/>
          <w:sz w:val="18"/>
          <w:szCs w:val="18"/>
        </w:rPr>
        <w:t xml:space="preserve">Don’t write the names of pupils, or of staff involved in concerns or allegations, on this form. Record numbers, initials and roles only, so the report can go to the full board.</w:t>
      </w:r>
    </w:p>
    <w:p>
      <w:pPr>
        <w:spacing w:before="0" w:after="160"/>
      </w:pPr>
      <w:r>
        <w:rPr>
          <w:sz w:val="18"/>
          <w:szCs w:val="18"/>
        </w:rPr>
        <w:t xml:space="preserve">For the link governor for safeguarding and the designated safeguarding lead (DSL) to fill in together, on a visit or as the annual section 175 self-review. Tick one answer for each check, note the evidence you saw (a document, a record, a conversation), and give each gap an action, an owner and a date. If your local authority or trust requires its own section 175 audit format, use that instead and treat this as a prompt list.</w:t>
      </w:r>
    </w:p>
    <w:p>
      <w:pPr>
        <w:keepNext/>
        <w:spacing w:before="160" w:after="60"/>
      </w:pPr>
      <w:r>
        <w:rPr>
          <w:b/>
          <w:sz w:val="24"/>
          <w:szCs w:val="24"/>
        </w:rPr>
        <w:t xml:space="preserve">Visit details</w:t>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2300"/>
        <w:gridCol w:w="2933"/>
        <w:gridCol w:w="2300"/>
        <w:gridCol w:w="2933"/>
      </w:tblGrid>
      <w:tr>
        <w:trPr>
          <w:cantSplit/>
          <w:trHeight w:val="480" w:hRule="atLeast"/>
        </w:trPr>
        <w:tc>
          <w:tcPr>
            <w:tcW w:w="2300" w:type="dxa"/>
            <w:shd w:val="clear" w:color="auto" w:fill="EEF2FD"/>
            <w:vAlign w:val="top"/>
          </w:tcPr>
          <w:p>
            <w:pPr>
              <w:spacing w:before="0" w:after="0"/>
            </w:pPr>
            <w:r>
              <w:rPr>
                <w:b/>
                <w:sz w:val="18"/>
                <w:szCs w:val="18"/>
              </w:rPr>
              <w:t xml:space="preserve">School</w:t>
            </w:r>
          </w:p>
        </w:tc>
        <w:tc>
          <w:tcPr>
            <w:tcW w:w="2933" w:type="dxa"/>
            <w:vAlign w:val="top"/>
          </w:tcPr>
          <w:p/>
        </w:tc>
        <w:tc>
          <w:tcPr>
            <w:tcW w:w="2300" w:type="dxa"/>
            <w:shd w:val="clear" w:color="auto" w:fill="EEF2FD"/>
            <w:vAlign w:val="top"/>
          </w:tcPr>
          <w:p>
            <w:pPr>
              <w:spacing w:before="0" w:after="0"/>
            </w:pPr>
            <w:r>
              <w:rPr>
                <w:b/>
                <w:sz w:val="18"/>
                <w:szCs w:val="18"/>
              </w:rPr>
              <w:t xml:space="preserve">Date of visit</w:t>
            </w:r>
          </w:p>
        </w:tc>
        <w:tc>
          <w:tcPr>
            <w:tcW w:w="2933" w:type="dxa"/>
            <w:vAlign w:val="top"/>
          </w:tcPr>
          <w:p/>
        </w:tc>
      </w:tr>
      <w:tr>
        <w:trPr>
          <w:cantSplit/>
          <w:trHeight w:val="480" w:hRule="atLeast"/>
        </w:trPr>
        <w:tc>
          <w:tcPr>
            <w:tcW w:w="2300" w:type="dxa"/>
            <w:shd w:val="clear" w:color="auto" w:fill="EEF2FD"/>
            <w:vAlign w:val="top"/>
          </w:tcPr>
          <w:p>
            <w:pPr>
              <w:spacing w:before="0" w:after="0"/>
            </w:pPr>
            <w:r>
              <w:rPr>
                <w:b/>
                <w:sz w:val="18"/>
                <w:szCs w:val="18"/>
              </w:rPr>
              <w:t xml:space="preserve">Governor (name and role)</w:t>
            </w:r>
          </w:p>
        </w:tc>
        <w:tc>
          <w:tcPr>
            <w:tcW w:w="2933" w:type="dxa"/>
            <w:vAlign w:val="top"/>
          </w:tcPr>
          <w:p/>
        </w:tc>
        <w:tc>
          <w:tcPr>
            <w:tcW w:w="2300" w:type="dxa"/>
            <w:shd w:val="clear" w:color="auto" w:fill="EEF2FD"/>
            <w:vAlign w:val="top"/>
          </w:tcPr>
          <w:p>
            <w:pPr>
              <w:spacing w:before="0" w:after="0"/>
            </w:pPr>
            <w:r>
              <w:rPr>
                <w:b/>
                <w:sz w:val="18"/>
                <w:szCs w:val="18"/>
              </w:rPr>
              <w:t xml:space="preserve">Met with (names and roles)</w:t>
            </w:r>
          </w:p>
        </w:tc>
        <w:tc>
          <w:tcPr>
            <w:tcW w:w="2933" w:type="dxa"/>
            <w:vAlign w:val="top"/>
          </w:tcPr>
          <w:p/>
        </w:tc>
      </w:tr>
      <w:tr>
        <w:trPr>
          <w:cantSplit/>
        </w:trPr>
        <w:tc>
          <w:tcPr>
            <w:tcW w:w="10466" w:type="dxa"/>
            <w:gridSpan w:val="4"/>
            <w:shd w:val="clear" w:color="auto" w:fill="EEF2FD"/>
            <w:vAlign w:val="top"/>
          </w:tcPr>
          <w:p>
            <w:pPr>
              <w:spacing w:before="0" w:after="0"/>
            </w:pPr>
            <w:r>
              <w:rPr>
                <w:b/>
                <w:sz w:val="18"/>
                <w:szCs w:val="18"/>
              </w:rPr>
              <w:t xml:space="preserve">Type of review</w:t>
            </w:r>
          </w:p>
          <w:p>
            <w:pPr>
              <w:spacing w:before="40" w:after="0"/>
            </w:pPr>
            <w:r>
              <w:rPr>
                <w:sz w:val="18"/>
                <w:szCs w:val="18"/>
              </w:rPr>
              <w:t xml:space="preserve">☐ Termly link visit    ☐ Annual section 175 self-review    ☐ Follow-up visit</w:t>
            </w:r>
          </w:p>
        </w:tc>
      </w:tr>
      <w:tr>
        <w:trPr>
          <w:cantSplit/>
        </w:trPr>
        <w:tc>
          <w:tcPr>
            <w:tcW w:w="10466" w:type="dxa"/>
            <w:gridSpan w:val="4"/>
            <w:shd w:val="clear" w:color="auto" w:fill="EEF2FD"/>
            <w:vAlign w:val="top"/>
          </w:tcPr>
          <w:p>
            <w:pPr>
              <w:spacing w:before="0" w:after="0"/>
            </w:pPr>
            <w:r>
              <w:rPr>
                <w:b/>
                <w:sz w:val="18"/>
                <w:szCs w:val="18"/>
              </w:rPr>
              <w:t xml:space="preserve">Focus of this visit, and actions followed up from the last visit</w:t>
            </w:r>
          </w:p>
        </w:tc>
      </w:tr>
      <w:tr>
        <w:trPr>
          <w:cantSplit/>
          <w:trHeight w:val="1200" w:hRule="atLeast"/>
        </w:trPr>
        <w:tc>
          <w:tcPr>
            <w:tcW w:w="10466" w:type="dxa"/>
            <w:gridSpan w:val="4"/>
            <w:vAlign w:val="top"/>
          </w:tcPr>
          <w:p/>
        </w:tc>
      </w:tr>
    </w:tbl>
    <w:p>
      <w:pPr>
        <w:keepNext/>
        <w:spacing w:before="200" w:after="60"/>
      </w:pPr>
      <w:r>
        <w:rPr>
          <w:b/>
          <w:sz w:val="24"/>
          <w:szCs w:val="24"/>
        </w:rPr>
        <w:t xml:space="preserve">1. Leadership and governance</w:t>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4186"/>
        <w:gridCol w:w="1255"/>
        <w:gridCol w:w="2511"/>
        <w:gridCol w:w="2514"/>
      </w:tblGrid>
      <w:tr>
        <w:trPr>
          <w:cantSplit/>
          <w:tblHeader/>
          <w:trHeight w:val="360" w:hRule="atLeast"/>
        </w:trPr>
        <w:tc>
          <w:tcPr>
            <w:tcW w:w="4186" w:type="dxa"/>
            <w:shd w:val="clear" w:color="auto" w:fill="EEF2FD"/>
            <w:vAlign w:val="center"/>
          </w:tcPr>
          <w:p>
            <w:pPr>
              <w:spacing w:before="0" w:after="0"/>
            </w:pPr>
            <w:r>
              <w:rPr>
                <w:b/>
                <w:sz w:val="17"/>
                <w:szCs w:val="17"/>
              </w:rPr>
              <w:t xml:space="preserve">What to check</w:t>
            </w:r>
          </w:p>
        </w:tc>
        <w:tc>
          <w:tcPr>
            <w:tcW w:w="1255" w:type="dxa"/>
            <w:shd w:val="clear" w:color="auto" w:fill="EEF2FD"/>
            <w:vAlign w:val="center"/>
          </w:tcPr>
          <w:p>
            <w:pPr>
              <w:spacing w:before="0" w:after="0"/>
            </w:pPr>
            <w:r>
              <w:rPr>
                <w:b/>
                <w:sz w:val="17"/>
                <w:szCs w:val="17"/>
              </w:rPr>
              <w:t xml:space="preserve">Answer</w:t>
            </w:r>
          </w:p>
        </w:tc>
        <w:tc>
          <w:tcPr>
            <w:tcW w:w="2511" w:type="dxa"/>
            <w:shd w:val="clear" w:color="auto" w:fill="EEF2FD"/>
            <w:vAlign w:val="center"/>
          </w:tcPr>
          <w:p>
            <w:pPr>
              <w:spacing w:before="0" w:after="0"/>
            </w:pPr>
            <w:r>
              <w:rPr>
                <w:b/>
                <w:sz w:val="17"/>
                <w:szCs w:val="17"/>
              </w:rPr>
              <w:t xml:space="preserve">Evidence seen</w:t>
            </w:r>
          </w:p>
        </w:tc>
        <w:tc>
          <w:tcPr>
            <w:tcW w:w="2514" w:type="dxa"/>
            <w:shd w:val="clear" w:color="auto" w:fill="EEF2FD"/>
            <w:vAlign w:val="center"/>
          </w:tcPr>
          <w:p>
            <w:pPr>
              <w:spacing w:before="0" w:after="0"/>
            </w:pPr>
            <w:r>
              <w:rPr>
                <w:b/>
                <w:sz w:val="17"/>
                <w:szCs w:val="17"/>
              </w:rPr>
              <w:t xml:space="preserve">Action, owner and date</w:t>
            </w:r>
          </w:p>
        </w:tc>
      </w:tr>
      <w:tr>
        <w:trPr>
          <w:cantSplit/>
          <w:trHeight w:val="860" w:hRule="atLeast"/>
        </w:trPr>
        <w:tc>
          <w:tcPr>
            <w:tcW w:w="4186" w:type="dxa"/>
            <w:vAlign w:val="top"/>
          </w:tcPr>
          <w:p>
            <w:pPr>
              <w:spacing w:before="0" w:after="20"/>
            </w:pPr>
            <w:r>
              <w:rPr>
                <w:sz w:val="18"/>
                <w:szCs w:val="18"/>
              </w:rPr>
              <w:t xml:space="preserve">The board has a senior board-level lead for safeguarding.</w:t>
            </w:r>
          </w:p>
          <w:p>
            <w:pPr>
              <w:spacing w:before="0" w:after="0"/>
            </w:pPr>
            <w:r>
              <w:rPr>
                <w:color w:val="5A6275"/>
                <w:sz w:val="15"/>
                <w:szCs w:val="15"/>
              </w:rPr>
              <w:t xml:space="preserve">KCSIE 2026, paragraph 86</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Every governor or trustee had safeguarding and child protection training, including online safety, at induction, and it is updated regularly. Dates are recorded.</w:t>
            </w:r>
          </w:p>
          <w:p>
            <w:pPr>
              <w:spacing w:before="0" w:after="0"/>
            </w:pPr>
            <w:r>
              <w:rPr>
                <w:color w:val="5A6275"/>
                <w:sz w:val="15"/>
                <w:szCs w:val="15"/>
              </w:rPr>
              <w:t xml:space="preserve">KCSIE 2026, paragraph 87</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The board gets regular safeguarding reports (numbers and trends, no names) and challenges and tests them.</w:t>
            </w:r>
          </w:p>
          <w:p>
            <w:pPr>
              <w:spacing w:before="0" w:after="0"/>
            </w:pPr>
            <w:r>
              <w:rPr>
                <w:color w:val="5A6275"/>
                <w:sz w:val="15"/>
                <w:szCs w:val="15"/>
              </w:rPr>
              <w:t xml:space="preserve">KCSIE 2026, paragraphs 84 and 87</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The board has arrangements in place to make sure the school’s functions are carried out with a view to safeguarding and promoting the welfare of pupils.</w:t>
            </w:r>
          </w:p>
          <w:p>
            <w:pPr>
              <w:spacing w:before="0" w:after="0"/>
            </w:pPr>
            <w:r>
              <w:rPr>
                <w:color w:val="5A6275"/>
                <w:sz w:val="15"/>
                <w:szCs w:val="15"/>
              </w:rPr>
              <w:t xml:space="preserve">Education Act 2002, section 175(2); KCSIE 2026, paragraph 84</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bl>
    <w:p>
      <w:pPr>
        <w:keepNext/>
        <w:spacing w:before="200" w:after="60"/>
      </w:pPr>
      <w:r>
        <w:rPr>
          <w:b/>
          <w:sz w:val="24"/>
          <w:szCs w:val="24"/>
        </w:rPr>
        <w:t xml:space="preserve">2. Policies</w:t>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4186"/>
        <w:gridCol w:w="1255"/>
        <w:gridCol w:w="2511"/>
        <w:gridCol w:w="2514"/>
      </w:tblGrid>
      <w:tr>
        <w:trPr>
          <w:cantSplit/>
          <w:tblHeader/>
          <w:trHeight w:val="360" w:hRule="atLeast"/>
        </w:trPr>
        <w:tc>
          <w:tcPr>
            <w:tcW w:w="4186" w:type="dxa"/>
            <w:shd w:val="clear" w:color="auto" w:fill="EEF2FD"/>
            <w:vAlign w:val="center"/>
          </w:tcPr>
          <w:p>
            <w:pPr>
              <w:spacing w:before="0" w:after="0"/>
            </w:pPr>
            <w:r>
              <w:rPr>
                <w:b/>
                <w:sz w:val="17"/>
                <w:szCs w:val="17"/>
              </w:rPr>
              <w:t xml:space="preserve">What to check</w:t>
            </w:r>
          </w:p>
        </w:tc>
        <w:tc>
          <w:tcPr>
            <w:tcW w:w="1255" w:type="dxa"/>
            <w:shd w:val="clear" w:color="auto" w:fill="EEF2FD"/>
            <w:vAlign w:val="center"/>
          </w:tcPr>
          <w:p>
            <w:pPr>
              <w:spacing w:before="0" w:after="0"/>
            </w:pPr>
            <w:r>
              <w:rPr>
                <w:b/>
                <w:sz w:val="17"/>
                <w:szCs w:val="17"/>
              </w:rPr>
              <w:t xml:space="preserve">Answer</w:t>
            </w:r>
          </w:p>
        </w:tc>
        <w:tc>
          <w:tcPr>
            <w:tcW w:w="2511" w:type="dxa"/>
            <w:shd w:val="clear" w:color="auto" w:fill="EEF2FD"/>
            <w:vAlign w:val="center"/>
          </w:tcPr>
          <w:p>
            <w:pPr>
              <w:spacing w:before="0" w:after="0"/>
            </w:pPr>
            <w:r>
              <w:rPr>
                <w:b/>
                <w:sz w:val="17"/>
                <w:szCs w:val="17"/>
              </w:rPr>
              <w:t xml:space="preserve">Evidence seen</w:t>
            </w:r>
          </w:p>
        </w:tc>
        <w:tc>
          <w:tcPr>
            <w:tcW w:w="2514" w:type="dxa"/>
            <w:shd w:val="clear" w:color="auto" w:fill="EEF2FD"/>
            <w:vAlign w:val="center"/>
          </w:tcPr>
          <w:p>
            <w:pPr>
              <w:spacing w:before="0" w:after="0"/>
            </w:pPr>
            <w:r>
              <w:rPr>
                <w:b/>
                <w:sz w:val="17"/>
                <w:szCs w:val="17"/>
              </w:rPr>
              <w:t xml:space="preserve">Action, owner and date</w:t>
            </w:r>
          </w:p>
        </w:tc>
      </w:tr>
      <w:tr>
        <w:trPr>
          <w:cantSplit/>
          <w:trHeight w:val="860" w:hRule="atLeast"/>
        </w:trPr>
        <w:tc>
          <w:tcPr>
            <w:tcW w:w="4186" w:type="dxa"/>
            <w:vAlign w:val="top"/>
          </w:tcPr>
          <w:p>
            <w:pPr>
              <w:spacing w:before="0" w:after="20"/>
            </w:pPr>
            <w:r>
              <w:rPr>
                <w:sz w:val="18"/>
                <w:szCs w:val="18"/>
              </w:rPr>
              <w:t xml:space="preserve">Child protection policy reviewed in the last 12 months, updated if needed, and approved by the board. Date of review: ________</w:t>
            </w:r>
          </w:p>
          <w:p>
            <w:pPr>
              <w:spacing w:before="0" w:after="0"/>
            </w:pPr>
            <w:r>
              <w:rPr>
                <w:color w:val="5A6275"/>
                <w:sz w:val="15"/>
                <w:szCs w:val="15"/>
              </w:rPr>
              <w:t xml:space="preserve">KCSIE 2026, paragraph 123</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Child protection policy published on the school website (or available by other means).</w:t>
            </w:r>
          </w:p>
          <w:p>
            <w:pPr>
              <w:spacing w:before="0" w:after="0"/>
            </w:pPr>
            <w:r>
              <w:rPr>
                <w:color w:val="5A6275"/>
                <w:sz w:val="15"/>
                <w:szCs w:val="15"/>
              </w:rPr>
              <w:t xml:space="preserve">KCSIE 2026, paragraph 123</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The policy reflects the local multi-agency safeguarding arrangements and the local criteria for action.</w:t>
            </w:r>
          </w:p>
          <w:p>
            <w:pPr>
              <w:spacing w:before="0" w:after="0"/>
            </w:pPr>
            <w:r>
              <w:rPr>
                <w:color w:val="5A6275"/>
                <w:sz w:val="15"/>
                <w:szCs w:val="15"/>
              </w:rPr>
              <w:t xml:space="preserve">KCSIE 2026, paragraphs 123 and 137</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The policy covers child-on-child abuse, online safety (including filtering and monitoring) and children with SEND.</w:t>
            </w:r>
          </w:p>
          <w:p>
            <w:pPr>
              <w:spacing w:before="0" w:after="0"/>
            </w:pPr>
            <w:r>
              <w:rPr>
                <w:color w:val="5A6275"/>
                <w:sz w:val="15"/>
                <w:szCs w:val="15"/>
              </w:rPr>
              <w:t xml:space="preserve">KCSIE 2026, paragraphs 123, 169, 193 and 249</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Behaviour policy in place, including measures to prevent bullying (including cyberbullying, prejudice-based and discriminatory bullying).</w:t>
            </w:r>
          </w:p>
          <w:p>
            <w:pPr>
              <w:spacing w:before="0" w:after="0"/>
            </w:pPr>
            <w:r>
              <w:rPr>
                <w:color w:val="5A6275"/>
                <w:sz w:val="15"/>
                <w:szCs w:val="15"/>
              </w:rPr>
              <w:t xml:space="preserve">KCSIE 2026, paragraph 123</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Staff code of conduct covers low-level concerns, allegations, whistleblowing, acceptable use of technology (including mobile devices), staff-pupil relationships and social media.</w:t>
            </w:r>
          </w:p>
          <w:p>
            <w:pPr>
              <w:spacing w:before="0" w:after="0"/>
            </w:pPr>
            <w:r>
              <w:rPr>
                <w:color w:val="5A6275"/>
                <w:sz w:val="15"/>
                <w:szCs w:val="15"/>
              </w:rPr>
              <w:t xml:space="preserve">KCSIE 2026, paragraph 123</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Online safety approach set out in the child protection policy (or a linked online safety policy).</w:t>
            </w:r>
          </w:p>
          <w:p>
            <w:pPr>
              <w:spacing w:before="0" w:after="0"/>
            </w:pPr>
            <w:r>
              <w:rPr>
                <w:color w:val="5A6275"/>
                <w:sz w:val="15"/>
                <w:szCs w:val="15"/>
              </w:rPr>
              <w:t xml:space="preserve">KCSIE 2026, paragraph 169</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bl>
    <w:p>
      <w:pPr>
        <w:keepNext/>
        <w:spacing w:before="200" w:after="60"/>
      </w:pPr>
      <w:r>
        <w:rPr>
          <w:b/>
          <w:sz w:val="24"/>
          <w:szCs w:val="24"/>
        </w:rPr>
        <w:t xml:space="preserve">3. The designated safeguarding lead</w:t>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2300"/>
        <w:gridCol w:w="2933"/>
        <w:gridCol w:w="2300"/>
        <w:gridCol w:w="2933"/>
      </w:tblGrid>
      <w:tr>
        <w:trPr>
          <w:cantSplit/>
          <w:trHeight w:val="480" w:hRule="atLeast"/>
        </w:trPr>
        <w:tc>
          <w:tcPr>
            <w:tcW w:w="2300" w:type="dxa"/>
            <w:shd w:val="clear" w:color="auto" w:fill="EEF2FD"/>
            <w:vAlign w:val="top"/>
          </w:tcPr>
          <w:p>
            <w:pPr>
              <w:spacing w:before="0" w:after="0"/>
            </w:pPr>
            <w:r>
              <w:rPr>
                <w:b/>
                <w:sz w:val="18"/>
                <w:szCs w:val="18"/>
              </w:rPr>
              <w:t xml:space="preserve">DSL (name and role)</w:t>
            </w:r>
          </w:p>
        </w:tc>
        <w:tc>
          <w:tcPr>
            <w:tcW w:w="2933" w:type="dxa"/>
            <w:vAlign w:val="top"/>
          </w:tcPr>
          <w:p/>
        </w:tc>
        <w:tc>
          <w:tcPr>
            <w:tcW w:w="2300" w:type="dxa"/>
            <w:shd w:val="clear" w:color="auto" w:fill="EEF2FD"/>
            <w:vAlign w:val="top"/>
          </w:tcPr>
          <w:p>
            <w:pPr>
              <w:spacing w:before="0" w:after="0"/>
            </w:pPr>
            <w:r>
              <w:rPr>
                <w:b/>
                <w:sz w:val="18"/>
                <w:szCs w:val="18"/>
              </w:rPr>
              <w:t xml:space="preserve">Last DSL training (date)</w:t>
            </w:r>
          </w:p>
        </w:tc>
        <w:tc>
          <w:tcPr>
            <w:tcW w:w="2933" w:type="dxa"/>
            <w:vAlign w:val="top"/>
          </w:tcPr>
          <w:p/>
        </w:tc>
      </w:tr>
      <w:tr>
        <w:trPr>
          <w:cantSplit/>
          <w:trHeight w:val="480" w:hRule="atLeast"/>
        </w:trPr>
        <w:tc>
          <w:tcPr>
            <w:tcW w:w="2300" w:type="dxa"/>
            <w:shd w:val="clear" w:color="auto" w:fill="EEF2FD"/>
            <w:vAlign w:val="top"/>
          </w:tcPr>
          <w:p>
            <w:pPr>
              <w:spacing w:before="0" w:after="0"/>
            </w:pPr>
            <w:r>
              <w:rPr>
                <w:b/>
                <w:sz w:val="18"/>
                <w:szCs w:val="18"/>
              </w:rPr>
              <w:t xml:space="preserve">Deputy DSLs (names)</w:t>
            </w:r>
          </w:p>
        </w:tc>
        <w:tc>
          <w:tcPr>
            <w:tcW w:w="2933" w:type="dxa"/>
            <w:vAlign w:val="top"/>
          </w:tcPr>
          <w:p/>
        </w:tc>
        <w:tc>
          <w:tcPr>
            <w:tcW w:w="2300" w:type="dxa"/>
            <w:shd w:val="clear" w:color="auto" w:fill="EEF2FD"/>
            <w:vAlign w:val="top"/>
          </w:tcPr>
          <w:p>
            <w:pPr>
              <w:spacing w:before="0" w:after="0"/>
            </w:pPr>
            <w:r>
              <w:rPr>
                <w:b/>
                <w:sz w:val="18"/>
                <w:szCs w:val="18"/>
              </w:rPr>
              <w:t xml:space="preserve">Last deputy training (dates)</w:t>
            </w:r>
          </w:p>
        </w:tc>
        <w:tc>
          <w:tcPr>
            <w:tcW w:w="2933" w:type="dxa"/>
            <w:vAlign w:val="top"/>
          </w:tcPr>
          <w:p/>
        </w:tc>
      </w:tr>
      <w:tr>
        <w:trPr>
          <w:cantSplit/>
          <w:trHeight w:val="480" w:hRule="atLeast"/>
        </w:trPr>
        <w:tc>
          <w:tcPr>
            <w:tcW w:w="2300" w:type="dxa"/>
            <w:shd w:val="clear" w:color="auto" w:fill="EEF2FD"/>
            <w:vAlign w:val="top"/>
          </w:tcPr>
          <w:p>
            <w:pPr>
              <w:spacing w:before="0" w:after="0"/>
            </w:pPr>
            <w:r>
              <w:rPr>
                <w:b/>
                <w:sz w:val="18"/>
                <w:szCs w:val="18"/>
              </w:rPr>
              <w:t xml:space="preserve">DSL and deputies’ Prevent awareness training (dates)</w:t>
            </w:r>
          </w:p>
        </w:tc>
        <w:tc>
          <w:tcPr>
            <w:tcW w:w="2933" w:type="dxa"/>
            <w:vAlign w:val="top"/>
          </w:tcPr>
          <w:p/>
        </w:tc>
        <w:tc>
          <w:tcPr>
            <w:tcW w:w="2300" w:type="dxa"/>
            <w:shd w:val="clear" w:color="auto" w:fill="EEF2FD"/>
            <w:vAlign w:val="top"/>
          </w:tcPr>
          <w:p>
            <w:pPr>
              <w:spacing w:before="0" w:after="0"/>
            </w:pPr>
            <w:r>
              <w:rPr>
                <w:b/>
                <w:sz w:val="18"/>
                <w:szCs w:val="18"/>
              </w:rPr>
              <w:t xml:space="preserve">Time given to the role (for example, hours a week)</w:t>
            </w:r>
          </w:p>
        </w:tc>
        <w:tc>
          <w:tcPr>
            <w:tcW w:w="2933" w:type="dxa"/>
            <w:vAlign w:val="top"/>
          </w:tcPr>
          <w:p/>
        </w:tc>
      </w:tr>
    </w:tbl>
    <w:p>
      <w:pPr>
        <w:spacing w:before="0" w:after="60"/>
      </w:pPr>
      <w:r>
        <w:t xml:space="preserve"/>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4186"/>
        <w:gridCol w:w="1255"/>
        <w:gridCol w:w="2511"/>
        <w:gridCol w:w="2514"/>
      </w:tblGrid>
      <w:tr>
        <w:trPr>
          <w:cantSplit/>
          <w:tblHeader/>
          <w:trHeight w:val="360" w:hRule="atLeast"/>
        </w:trPr>
        <w:tc>
          <w:tcPr>
            <w:tcW w:w="4186" w:type="dxa"/>
            <w:shd w:val="clear" w:color="auto" w:fill="EEF2FD"/>
            <w:vAlign w:val="center"/>
          </w:tcPr>
          <w:p>
            <w:pPr>
              <w:spacing w:before="0" w:after="0"/>
            </w:pPr>
            <w:r>
              <w:rPr>
                <w:b/>
                <w:sz w:val="17"/>
                <w:szCs w:val="17"/>
              </w:rPr>
              <w:t xml:space="preserve">What to check</w:t>
            </w:r>
          </w:p>
        </w:tc>
        <w:tc>
          <w:tcPr>
            <w:tcW w:w="1255" w:type="dxa"/>
            <w:shd w:val="clear" w:color="auto" w:fill="EEF2FD"/>
            <w:vAlign w:val="center"/>
          </w:tcPr>
          <w:p>
            <w:pPr>
              <w:spacing w:before="0" w:after="0"/>
            </w:pPr>
            <w:r>
              <w:rPr>
                <w:b/>
                <w:sz w:val="17"/>
                <w:szCs w:val="17"/>
              </w:rPr>
              <w:t xml:space="preserve">Answer</w:t>
            </w:r>
          </w:p>
        </w:tc>
        <w:tc>
          <w:tcPr>
            <w:tcW w:w="2511" w:type="dxa"/>
            <w:shd w:val="clear" w:color="auto" w:fill="EEF2FD"/>
            <w:vAlign w:val="center"/>
          </w:tcPr>
          <w:p>
            <w:pPr>
              <w:spacing w:before="0" w:after="0"/>
            </w:pPr>
            <w:r>
              <w:rPr>
                <w:b/>
                <w:sz w:val="17"/>
                <w:szCs w:val="17"/>
              </w:rPr>
              <w:t xml:space="preserve">Evidence seen</w:t>
            </w:r>
          </w:p>
        </w:tc>
        <w:tc>
          <w:tcPr>
            <w:tcW w:w="2514" w:type="dxa"/>
            <w:shd w:val="clear" w:color="auto" w:fill="EEF2FD"/>
            <w:vAlign w:val="center"/>
          </w:tcPr>
          <w:p>
            <w:pPr>
              <w:spacing w:before="0" w:after="0"/>
            </w:pPr>
            <w:r>
              <w:rPr>
                <w:b/>
                <w:sz w:val="17"/>
                <w:szCs w:val="17"/>
              </w:rPr>
              <w:t xml:space="preserve">Action, owner and date</w:t>
            </w:r>
          </w:p>
        </w:tc>
      </w:tr>
      <w:tr>
        <w:trPr>
          <w:cantSplit/>
          <w:trHeight w:val="860" w:hRule="atLeast"/>
        </w:trPr>
        <w:tc>
          <w:tcPr>
            <w:tcW w:w="4186" w:type="dxa"/>
            <w:vAlign w:val="top"/>
          </w:tcPr>
          <w:p>
            <w:pPr>
              <w:spacing w:before="0" w:after="20"/>
            </w:pPr>
            <w:r>
              <w:rPr>
                <w:sz w:val="18"/>
                <w:szCs w:val="18"/>
              </w:rPr>
              <w:t xml:space="preserve">The DSL is a senior member of the leadership team, and the role (including online safety and understanding filtering and monitoring) is in their job description.</w:t>
            </w:r>
          </w:p>
          <w:p>
            <w:pPr>
              <w:spacing w:before="0" w:after="0"/>
            </w:pPr>
            <w:r>
              <w:rPr>
                <w:color w:val="5A6275"/>
                <w:sz w:val="15"/>
                <w:szCs w:val="15"/>
              </w:rPr>
              <w:t xml:space="preserve">KCSIE 2026, paragraph 127</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The DSL has the status, authority, time, funding, training, resources and support to do the role.</w:t>
            </w:r>
          </w:p>
          <w:p>
            <w:pPr>
              <w:spacing w:before="0" w:after="0"/>
            </w:pPr>
            <w:r>
              <w:rPr>
                <w:color w:val="5A6275"/>
                <w:sz w:val="15"/>
                <w:szCs w:val="15"/>
              </w:rPr>
              <w:t xml:space="preserve">KCSIE 2026, paragraph 128</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There are cover arrangements for when the DSL is away, so concerns are still received and acted on without delay.</w:t>
            </w:r>
          </w:p>
          <w:p>
            <w:pPr>
              <w:spacing w:before="0" w:after="0"/>
            </w:pPr>
            <w:r>
              <w:rPr>
                <w:color w:val="5A6275"/>
                <w:sz w:val="15"/>
                <w:szCs w:val="15"/>
              </w:rPr>
              <w:t xml:space="preserve">KCSIE 2026, paragraph 129</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Deputies are trained to the same standard as the DSL.</w:t>
            </w:r>
          </w:p>
          <w:p>
            <w:pPr>
              <w:spacing w:before="0" w:after="0"/>
            </w:pPr>
            <w:r>
              <w:rPr>
                <w:color w:val="5A6275"/>
                <w:sz w:val="15"/>
                <w:szCs w:val="15"/>
              </w:rPr>
              <w:t xml:space="preserve">KCSIE 2026, paragraph 130</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DSL and deputy training updated at least every two years, plus Prevent awareness training.</w:t>
            </w:r>
          </w:p>
          <w:p>
            <w:pPr>
              <w:spacing w:before="0" w:after="0"/>
            </w:pPr>
            <w:r>
              <w:rPr>
                <w:color w:val="5A6275"/>
                <w:sz w:val="15"/>
                <w:szCs w:val="15"/>
              </w:rPr>
              <w:t xml:space="preserve">KCSIE 2026, Annex B</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bl>
    <w:p>
      <w:pPr>
        <w:keepNext/>
        <w:spacing w:before="200" w:after="60"/>
      </w:pPr>
      <w:r>
        <w:rPr>
          <w:b/>
          <w:sz w:val="24"/>
          <w:szCs w:val="24"/>
        </w:rPr>
        <w:t xml:space="preserve">4. Staff training and induction</w:t>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4186"/>
        <w:gridCol w:w="1255"/>
        <w:gridCol w:w="2511"/>
        <w:gridCol w:w="2514"/>
      </w:tblGrid>
      <w:tr>
        <w:trPr>
          <w:cantSplit/>
          <w:tblHeader/>
          <w:trHeight w:val="360" w:hRule="atLeast"/>
        </w:trPr>
        <w:tc>
          <w:tcPr>
            <w:tcW w:w="4186" w:type="dxa"/>
            <w:shd w:val="clear" w:color="auto" w:fill="EEF2FD"/>
            <w:vAlign w:val="center"/>
          </w:tcPr>
          <w:p>
            <w:pPr>
              <w:spacing w:before="0" w:after="0"/>
            </w:pPr>
            <w:r>
              <w:rPr>
                <w:b/>
                <w:sz w:val="17"/>
                <w:szCs w:val="17"/>
              </w:rPr>
              <w:t xml:space="preserve">What to check</w:t>
            </w:r>
          </w:p>
        </w:tc>
        <w:tc>
          <w:tcPr>
            <w:tcW w:w="1255" w:type="dxa"/>
            <w:shd w:val="clear" w:color="auto" w:fill="EEF2FD"/>
            <w:vAlign w:val="center"/>
          </w:tcPr>
          <w:p>
            <w:pPr>
              <w:spacing w:before="0" w:after="0"/>
            </w:pPr>
            <w:r>
              <w:rPr>
                <w:b/>
                <w:sz w:val="17"/>
                <w:szCs w:val="17"/>
              </w:rPr>
              <w:t xml:space="preserve">Answer</w:t>
            </w:r>
          </w:p>
        </w:tc>
        <w:tc>
          <w:tcPr>
            <w:tcW w:w="2511" w:type="dxa"/>
            <w:shd w:val="clear" w:color="auto" w:fill="EEF2FD"/>
            <w:vAlign w:val="center"/>
          </w:tcPr>
          <w:p>
            <w:pPr>
              <w:spacing w:before="0" w:after="0"/>
            </w:pPr>
            <w:r>
              <w:rPr>
                <w:b/>
                <w:sz w:val="17"/>
                <w:szCs w:val="17"/>
              </w:rPr>
              <w:t xml:space="preserve">Evidence seen</w:t>
            </w:r>
          </w:p>
        </w:tc>
        <w:tc>
          <w:tcPr>
            <w:tcW w:w="2514" w:type="dxa"/>
            <w:shd w:val="clear" w:color="auto" w:fill="EEF2FD"/>
            <w:vAlign w:val="center"/>
          </w:tcPr>
          <w:p>
            <w:pPr>
              <w:spacing w:before="0" w:after="0"/>
            </w:pPr>
            <w:r>
              <w:rPr>
                <w:b/>
                <w:sz w:val="17"/>
                <w:szCs w:val="17"/>
              </w:rPr>
              <w:t xml:space="preserve">Action, owner and date</w:t>
            </w:r>
          </w:p>
        </w:tc>
      </w:tr>
      <w:tr>
        <w:trPr>
          <w:cantSplit/>
          <w:trHeight w:val="860" w:hRule="atLeast"/>
        </w:trPr>
        <w:tc>
          <w:tcPr>
            <w:tcW w:w="4186" w:type="dxa"/>
            <w:vAlign w:val="top"/>
          </w:tcPr>
          <w:p>
            <w:pPr>
              <w:spacing w:before="0" w:after="20"/>
            </w:pPr>
            <w:r>
              <w:rPr>
                <w:sz w:val="18"/>
                <w:szCs w:val="18"/>
              </w:rPr>
              <w:t xml:space="preserve">Staff who work directly with children have read at least Part one of KCSIE 2026; other staff have read Part one too. Confirmations are recorded.</w:t>
            </w:r>
          </w:p>
          <w:p>
            <w:pPr>
              <w:spacing w:before="0" w:after="0"/>
            </w:pPr>
            <w:r>
              <w:rPr>
                <w:color w:val="5A6275"/>
                <w:sz w:val="15"/>
                <w:szCs w:val="15"/>
              </w:rPr>
              <w:t xml:space="preserve">KCSIE 2026, “School and college staff” (before Part one)</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New staff get the child protection policy, behaviour policy, staff code of conduct, Part one and the DSL’s identity at induction.</w:t>
            </w:r>
          </w:p>
          <w:p>
            <w:pPr>
              <w:spacing w:before="0" w:after="0"/>
            </w:pPr>
            <w:r>
              <w:rPr>
                <w:color w:val="5A6275"/>
                <w:sz w:val="15"/>
                <w:szCs w:val="15"/>
              </w:rPr>
              <w:t xml:space="preserve">KCSIE 2026, paragraph 124</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All staff had safeguarding and child protection training at induction, including online safety and their role in filtering and monitoring.</w:t>
            </w:r>
          </w:p>
          <w:p>
            <w:pPr>
              <w:spacing w:before="0" w:after="0"/>
            </w:pPr>
            <w:r>
              <w:rPr>
                <w:color w:val="5A6275"/>
                <w:sz w:val="15"/>
                <w:szCs w:val="15"/>
              </w:rPr>
              <w:t xml:space="preserve">KCSIE 2026, paragraph 153</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All staff get safeguarding updates at least once a year. Date of the last whole-staff update: ________</w:t>
            </w:r>
          </w:p>
          <w:p>
            <w:pPr>
              <w:spacing w:before="0" w:after="0"/>
            </w:pPr>
            <w:r>
              <w:rPr>
                <w:color w:val="5A6275"/>
                <w:sz w:val="15"/>
                <w:szCs w:val="15"/>
              </w:rPr>
              <w:t xml:space="preserve">KCSIE 2026, paragraph 154</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Staff have a chance to contribute to safeguarding arrangements and the child protection policy.</w:t>
            </w:r>
          </w:p>
          <w:p>
            <w:pPr>
              <w:spacing w:before="0" w:after="0"/>
            </w:pPr>
            <w:r>
              <w:rPr>
                <w:color w:val="5A6275"/>
                <w:sz w:val="15"/>
                <w:szCs w:val="15"/>
              </w:rPr>
              <w:t xml:space="preserve">KCSIE 2026, paragraph 155</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Temporary staff, volunteers and contractors get proportionate safeguarding information.</w:t>
            </w:r>
          </w:p>
          <w:p>
            <w:pPr>
              <w:spacing w:before="0" w:after="0"/>
            </w:pPr>
            <w:r>
              <w:rPr>
                <w:color w:val="5A6275"/>
                <w:sz w:val="15"/>
                <w:szCs w:val="15"/>
              </w:rPr>
              <w:t xml:space="preserve">KCSIE 2026, paragraph 125</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bl>
    <w:p>
      <w:pPr>
        <w:keepNext/>
        <w:spacing w:before="200" w:after="60"/>
      </w:pPr>
      <w:r>
        <w:rPr>
          <w:b/>
          <w:sz w:val="24"/>
          <w:szCs w:val="24"/>
        </w:rPr>
        <w:t xml:space="preserve">5. Single central record: sample check</w:t>
      </w:r>
    </w:p>
    <w:p>
      <w:pPr>
        <w:keepNext/>
        <w:spacing w:before="0" w:after="80"/>
      </w:pPr>
      <w:r>
        <w:rPr>
          <w:color w:val="3A4154"/>
          <w:sz w:val="18"/>
          <w:szCs w:val="18"/>
        </w:rPr>
        <w:t xml:space="preserve">Choose a few people across different groups (teacher, support staff, supply, volunteer, governor). Tick each check that is recorded with a date. Write N/A where a check doesn’t apply to the role. Use initials and roles only.</w:t>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1666"/>
        <w:gridCol w:w="1100"/>
        <w:gridCol w:w="1100"/>
        <w:gridCol w:w="1100"/>
        <w:gridCol w:w="1100"/>
        <w:gridCol w:w="1100"/>
        <w:gridCol w:w="1100"/>
        <w:gridCol w:w="1100"/>
        <w:gridCol w:w="1100"/>
      </w:tblGrid>
      <w:tr>
        <w:trPr>
          <w:cantSplit/>
          <w:tblHeader/>
          <w:trHeight w:val="360" w:hRule="atLeast"/>
        </w:trPr>
        <w:tc>
          <w:tcPr>
            <w:tcW w:w="1666" w:type="dxa"/>
            <w:shd w:val="clear" w:color="auto" w:fill="EEF2FD"/>
            <w:vAlign w:val="center"/>
          </w:tcPr>
          <w:p>
            <w:pPr>
              <w:spacing w:before="0" w:after="0"/>
            </w:pPr>
            <w:r>
              <w:rPr>
                <w:b/>
                <w:sz w:val="17"/>
                <w:szCs w:val="17"/>
              </w:rPr>
              <w:t xml:space="preserve">Initials and role</w:t>
            </w:r>
          </w:p>
        </w:tc>
        <w:tc>
          <w:tcPr>
            <w:tcW w:w="1100" w:type="dxa"/>
            <w:shd w:val="clear" w:color="auto" w:fill="EEF2FD"/>
            <w:vAlign w:val="center"/>
          </w:tcPr>
          <w:p>
            <w:pPr>
              <w:spacing w:before="0" w:after="0"/>
            </w:pPr>
            <w:r>
              <w:rPr>
                <w:b/>
                <w:sz w:val="17"/>
                <w:szCs w:val="17"/>
              </w:rPr>
              <w:t xml:space="preserve">Identity</w:t>
            </w:r>
          </w:p>
        </w:tc>
        <w:tc>
          <w:tcPr>
            <w:tcW w:w="1100" w:type="dxa"/>
            <w:shd w:val="clear" w:color="auto" w:fill="EEF2FD"/>
            <w:vAlign w:val="center"/>
          </w:tcPr>
          <w:p>
            <w:pPr>
              <w:spacing w:before="0" w:after="0"/>
            </w:pPr>
            <w:r>
              <w:rPr>
                <w:b/>
                <w:sz w:val="17"/>
                <w:szCs w:val="17"/>
              </w:rPr>
              <w:t xml:space="preserve">Enhanced DBS</w:t>
            </w:r>
          </w:p>
        </w:tc>
        <w:tc>
          <w:tcPr>
            <w:tcW w:w="1100" w:type="dxa"/>
            <w:shd w:val="clear" w:color="auto" w:fill="EEF2FD"/>
            <w:vAlign w:val="center"/>
          </w:tcPr>
          <w:p>
            <w:pPr>
              <w:spacing w:before="0" w:after="0"/>
            </w:pPr>
            <w:r>
              <w:rPr>
                <w:b/>
                <w:sz w:val="17"/>
                <w:szCs w:val="17"/>
              </w:rPr>
              <w:t xml:space="preserve">Barred list</w:t>
            </w:r>
          </w:p>
        </w:tc>
        <w:tc>
          <w:tcPr>
            <w:tcW w:w="1100" w:type="dxa"/>
            <w:shd w:val="clear" w:color="auto" w:fill="EEF2FD"/>
            <w:vAlign w:val="center"/>
          </w:tcPr>
          <w:p>
            <w:pPr>
              <w:spacing w:before="0" w:after="0"/>
            </w:pPr>
            <w:r>
              <w:rPr>
                <w:b/>
                <w:sz w:val="17"/>
                <w:szCs w:val="17"/>
              </w:rPr>
              <w:t xml:space="preserve">Prohibition</w:t>
            </w:r>
          </w:p>
        </w:tc>
        <w:tc>
          <w:tcPr>
            <w:tcW w:w="1100" w:type="dxa"/>
            <w:shd w:val="clear" w:color="auto" w:fill="EEF2FD"/>
            <w:vAlign w:val="center"/>
          </w:tcPr>
          <w:p>
            <w:pPr>
              <w:spacing w:before="0" w:after="0"/>
            </w:pPr>
            <w:r>
              <w:rPr>
                <w:b/>
                <w:sz w:val="17"/>
                <w:szCs w:val="17"/>
              </w:rPr>
              <w:t xml:space="preserve">Overseas</w:t>
            </w:r>
          </w:p>
        </w:tc>
        <w:tc>
          <w:tcPr>
            <w:tcW w:w="1100" w:type="dxa"/>
            <w:shd w:val="clear" w:color="auto" w:fill="EEF2FD"/>
            <w:vAlign w:val="center"/>
          </w:tcPr>
          <w:p>
            <w:pPr>
              <w:spacing w:before="0" w:after="0"/>
            </w:pPr>
            <w:r>
              <w:rPr>
                <w:b/>
                <w:sz w:val="17"/>
                <w:szCs w:val="17"/>
              </w:rPr>
              <w:t xml:space="preserve">Qualifi­cations</w:t>
            </w:r>
          </w:p>
        </w:tc>
        <w:tc>
          <w:tcPr>
            <w:tcW w:w="1100" w:type="dxa"/>
            <w:shd w:val="clear" w:color="auto" w:fill="EEF2FD"/>
            <w:vAlign w:val="center"/>
          </w:tcPr>
          <w:p>
            <w:pPr>
              <w:spacing w:before="0" w:after="0"/>
            </w:pPr>
            <w:r>
              <w:rPr>
                <w:b/>
                <w:sz w:val="17"/>
                <w:szCs w:val="17"/>
              </w:rPr>
              <w:t xml:space="preserve">Right to work</w:t>
            </w:r>
          </w:p>
        </w:tc>
        <w:tc>
          <w:tcPr>
            <w:tcW w:w="1100" w:type="dxa"/>
            <w:shd w:val="clear" w:color="auto" w:fill="EEF2FD"/>
            <w:vAlign w:val="center"/>
          </w:tcPr>
          <w:p>
            <w:pPr>
              <w:spacing w:before="0" w:after="0"/>
            </w:pPr>
            <w:r>
              <w:rPr>
                <w:b/>
                <w:sz w:val="17"/>
                <w:szCs w:val="17"/>
              </w:rPr>
              <w:t xml:space="preserve">Section 128</w:t>
            </w:r>
          </w:p>
        </w:tc>
      </w:tr>
      <w:tr>
        <w:trPr>
          <w:cantSplit/>
          <w:trHeight w:val="500" w:hRule="atLeast"/>
        </w:trPr>
        <w:tc>
          <w:tcPr>
            <w:tcW w:w="1666" w:type="dxa"/>
            <w:vAlign w:val="top"/>
          </w:tcPr>
          <w:p/>
        </w:tc>
        <w:tc>
          <w:tcPr>
            <w:tcW w:w="1100" w:type="dxa"/>
            <w:vAlign w:val="top"/>
          </w:tcPr>
          <w:p/>
        </w:tc>
        <w:tc>
          <w:tcPr>
            <w:tcW w:w="1100" w:type="dxa"/>
            <w:vAlign w:val="top"/>
          </w:tcPr>
          <w:p/>
        </w:tc>
        <w:tc>
          <w:tcPr>
            <w:tcW w:w="1100" w:type="dxa"/>
            <w:vAlign w:val="top"/>
          </w:tcPr>
          <w:p/>
        </w:tc>
        <w:tc>
          <w:tcPr>
            <w:tcW w:w="1100" w:type="dxa"/>
            <w:vAlign w:val="top"/>
          </w:tcPr>
          <w:p/>
        </w:tc>
        <w:tc>
          <w:tcPr>
            <w:tcW w:w="1100" w:type="dxa"/>
            <w:vAlign w:val="top"/>
          </w:tcPr>
          <w:p/>
        </w:tc>
        <w:tc>
          <w:tcPr>
            <w:tcW w:w="1100" w:type="dxa"/>
            <w:vAlign w:val="top"/>
          </w:tcPr>
          <w:p/>
        </w:tc>
        <w:tc>
          <w:tcPr>
            <w:tcW w:w="1100" w:type="dxa"/>
            <w:vAlign w:val="top"/>
          </w:tcPr>
          <w:p/>
        </w:tc>
        <w:tc>
          <w:tcPr>
            <w:tcW w:w="1100" w:type="dxa"/>
            <w:vAlign w:val="top"/>
          </w:tcPr>
          <w:p/>
        </w:tc>
      </w:tr>
      <w:tr>
        <w:trPr>
          <w:cantSplit/>
          <w:trHeight w:val="500" w:hRule="atLeast"/>
        </w:trPr>
        <w:tc>
          <w:tcPr>
            <w:tcW w:w="1666" w:type="dxa"/>
            <w:vAlign w:val="top"/>
          </w:tcPr>
          <w:p/>
        </w:tc>
        <w:tc>
          <w:tcPr>
            <w:tcW w:w="1100" w:type="dxa"/>
            <w:vAlign w:val="top"/>
          </w:tcPr>
          <w:p/>
        </w:tc>
        <w:tc>
          <w:tcPr>
            <w:tcW w:w="1100" w:type="dxa"/>
            <w:vAlign w:val="top"/>
          </w:tcPr>
          <w:p/>
        </w:tc>
        <w:tc>
          <w:tcPr>
            <w:tcW w:w="1100" w:type="dxa"/>
            <w:vAlign w:val="top"/>
          </w:tcPr>
          <w:p/>
        </w:tc>
        <w:tc>
          <w:tcPr>
            <w:tcW w:w="1100" w:type="dxa"/>
            <w:vAlign w:val="top"/>
          </w:tcPr>
          <w:p/>
        </w:tc>
        <w:tc>
          <w:tcPr>
            <w:tcW w:w="1100" w:type="dxa"/>
            <w:vAlign w:val="top"/>
          </w:tcPr>
          <w:p/>
        </w:tc>
        <w:tc>
          <w:tcPr>
            <w:tcW w:w="1100" w:type="dxa"/>
            <w:vAlign w:val="top"/>
          </w:tcPr>
          <w:p/>
        </w:tc>
        <w:tc>
          <w:tcPr>
            <w:tcW w:w="1100" w:type="dxa"/>
            <w:vAlign w:val="top"/>
          </w:tcPr>
          <w:p/>
        </w:tc>
        <w:tc>
          <w:tcPr>
            <w:tcW w:w="1100" w:type="dxa"/>
            <w:vAlign w:val="top"/>
          </w:tcPr>
          <w:p/>
        </w:tc>
      </w:tr>
      <w:tr>
        <w:trPr>
          <w:cantSplit/>
          <w:trHeight w:val="500" w:hRule="atLeast"/>
        </w:trPr>
        <w:tc>
          <w:tcPr>
            <w:tcW w:w="1666" w:type="dxa"/>
            <w:vAlign w:val="top"/>
          </w:tcPr>
          <w:p/>
        </w:tc>
        <w:tc>
          <w:tcPr>
            <w:tcW w:w="1100" w:type="dxa"/>
            <w:vAlign w:val="top"/>
          </w:tcPr>
          <w:p/>
        </w:tc>
        <w:tc>
          <w:tcPr>
            <w:tcW w:w="1100" w:type="dxa"/>
            <w:vAlign w:val="top"/>
          </w:tcPr>
          <w:p/>
        </w:tc>
        <w:tc>
          <w:tcPr>
            <w:tcW w:w="1100" w:type="dxa"/>
            <w:vAlign w:val="top"/>
          </w:tcPr>
          <w:p/>
        </w:tc>
        <w:tc>
          <w:tcPr>
            <w:tcW w:w="1100" w:type="dxa"/>
            <w:vAlign w:val="top"/>
          </w:tcPr>
          <w:p/>
        </w:tc>
        <w:tc>
          <w:tcPr>
            <w:tcW w:w="1100" w:type="dxa"/>
            <w:vAlign w:val="top"/>
          </w:tcPr>
          <w:p/>
        </w:tc>
        <w:tc>
          <w:tcPr>
            <w:tcW w:w="1100" w:type="dxa"/>
            <w:vAlign w:val="top"/>
          </w:tcPr>
          <w:p/>
        </w:tc>
        <w:tc>
          <w:tcPr>
            <w:tcW w:w="1100" w:type="dxa"/>
            <w:vAlign w:val="top"/>
          </w:tcPr>
          <w:p/>
        </w:tc>
        <w:tc>
          <w:tcPr>
            <w:tcW w:w="1100" w:type="dxa"/>
            <w:vAlign w:val="top"/>
          </w:tcPr>
          <w:p/>
        </w:tc>
      </w:tr>
      <w:tr>
        <w:trPr>
          <w:cantSplit/>
          <w:trHeight w:val="500" w:hRule="atLeast"/>
        </w:trPr>
        <w:tc>
          <w:tcPr>
            <w:tcW w:w="1666" w:type="dxa"/>
            <w:vAlign w:val="top"/>
          </w:tcPr>
          <w:p/>
        </w:tc>
        <w:tc>
          <w:tcPr>
            <w:tcW w:w="1100" w:type="dxa"/>
            <w:vAlign w:val="top"/>
          </w:tcPr>
          <w:p/>
        </w:tc>
        <w:tc>
          <w:tcPr>
            <w:tcW w:w="1100" w:type="dxa"/>
            <w:vAlign w:val="top"/>
          </w:tcPr>
          <w:p/>
        </w:tc>
        <w:tc>
          <w:tcPr>
            <w:tcW w:w="1100" w:type="dxa"/>
            <w:vAlign w:val="top"/>
          </w:tcPr>
          <w:p/>
        </w:tc>
        <w:tc>
          <w:tcPr>
            <w:tcW w:w="1100" w:type="dxa"/>
            <w:vAlign w:val="top"/>
          </w:tcPr>
          <w:p/>
        </w:tc>
        <w:tc>
          <w:tcPr>
            <w:tcW w:w="1100" w:type="dxa"/>
            <w:vAlign w:val="top"/>
          </w:tcPr>
          <w:p/>
        </w:tc>
        <w:tc>
          <w:tcPr>
            <w:tcW w:w="1100" w:type="dxa"/>
            <w:vAlign w:val="top"/>
          </w:tcPr>
          <w:p/>
        </w:tc>
        <w:tc>
          <w:tcPr>
            <w:tcW w:w="1100" w:type="dxa"/>
            <w:vAlign w:val="top"/>
          </w:tcPr>
          <w:p/>
        </w:tc>
        <w:tc>
          <w:tcPr>
            <w:tcW w:w="1100" w:type="dxa"/>
            <w:vAlign w:val="top"/>
          </w:tcPr>
          <w:p/>
        </w:tc>
      </w:tr>
      <w:tr>
        <w:trPr>
          <w:cantSplit/>
          <w:trHeight w:val="500" w:hRule="atLeast"/>
        </w:trPr>
        <w:tc>
          <w:tcPr>
            <w:tcW w:w="1666" w:type="dxa"/>
            <w:vAlign w:val="top"/>
          </w:tcPr>
          <w:p/>
        </w:tc>
        <w:tc>
          <w:tcPr>
            <w:tcW w:w="1100" w:type="dxa"/>
            <w:vAlign w:val="top"/>
          </w:tcPr>
          <w:p/>
        </w:tc>
        <w:tc>
          <w:tcPr>
            <w:tcW w:w="1100" w:type="dxa"/>
            <w:vAlign w:val="top"/>
          </w:tcPr>
          <w:p/>
        </w:tc>
        <w:tc>
          <w:tcPr>
            <w:tcW w:w="1100" w:type="dxa"/>
            <w:vAlign w:val="top"/>
          </w:tcPr>
          <w:p/>
        </w:tc>
        <w:tc>
          <w:tcPr>
            <w:tcW w:w="1100" w:type="dxa"/>
            <w:vAlign w:val="top"/>
          </w:tcPr>
          <w:p/>
        </w:tc>
        <w:tc>
          <w:tcPr>
            <w:tcW w:w="1100" w:type="dxa"/>
            <w:vAlign w:val="top"/>
          </w:tcPr>
          <w:p/>
        </w:tc>
        <w:tc>
          <w:tcPr>
            <w:tcW w:w="1100" w:type="dxa"/>
            <w:vAlign w:val="top"/>
          </w:tcPr>
          <w:p/>
        </w:tc>
        <w:tc>
          <w:tcPr>
            <w:tcW w:w="1100" w:type="dxa"/>
            <w:vAlign w:val="top"/>
          </w:tcPr>
          <w:p/>
        </w:tc>
        <w:tc>
          <w:tcPr>
            <w:tcW w:w="1100" w:type="dxa"/>
            <w:vAlign w:val="top"/>
          </w:tcPr>
          <w:p/>
        </w:tc>
      </w:tr>
    </w:tbl>
    <w:p>
      <w:pPr>
        <w:spacing w:before="0" w:after="60"/>
      </w:pPr>
      <w:r>
        <w:t xml:space="preserve"/>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4186"/>
        <w:gridCol w:w="1255"/>
        <w:gridCol w:w="2511"/>
        <w:gridCol w:w="2514"/>
      </w:tblGrid>
      <w:tr>
        <w:trPr>
          <w:cantSplit/>
          <w:tblHeader/>
          <w:trHeight w:val="360" w:hRule="atLeast"/>
        </w:trPr>
        <w:tc>
          <w:tcPr>
            <w:tcW w:w="4186" w:type="dxa"/>
            <w:shd w:val="clear" w:color="auto" w:fill="EEF2FD"/>
            <w:vAlign w:val="center"/>
          </w:tcPr>
          <w:p>
            <w:pPr>
              <w:spacing w:before="0" w:after="0"/>
            </w:pPr>
            <w:r>
              <w:rPr>
                <w:b/>
                <w:sz w:val="17"/>
                <w:szCs w:val="17"/>
              </w:rPr>
              <w:t xml:space="preserve">What to check</w:t>
            </w:r>
          </w:p>
        </w:tc>
        <w:tc>
          <w:tcPr>
            <w:tcW w:w="1255" w:type="dxa"/>
            <w:shd w:val="clear" w:color="auto" w:fill="EEF2FD"/>
            <w:vAlign w:val="center"/>
          </w:tcPr>
          <w:p>
            <w:pPr>
              <w:spacing w:before="0" w:after="0"/>
            </w:pPr>
            <w:r>
              <w:rPr>
                <w:b/>
                <w:sz w:val="17"/>
                <w:szCs w:val="17"/>
              </w:rPr>
              <w:t xml:space="preserve">Answer</w:t>
            </w:r>
          </w:p>
        </w:tc>
        <w:tc>
          <w:tcPr>
            <w:tcW w:w="2511" w:type="dxa"/>
            <w:shd w:val="clear" w:color="auto" w:fill="EEF2FD"/>
            <w:vAlign w:val="center"/>
          </w:tcPr>
          <w:p>
            <w:pPr>
              <w:spacing w:before="0" w:after="0"/>
            </w:pPr>
            <w:r>
              <w:rPr>
                <w:b/>
                <w:sz w:val="17"/>
                <w:szCs w:val="17"/>
              </w:rPr>
              <w:t xml:space="preserve">Evidence seen</w:t>
            </w:r>
          </w:p>
        </w:tc>
        <w:tc>
          <w:tcPr>
            <w:tcW w:w="2514" w:type="dxa"/>
            <w:shd w:val="clear" w:color="auto" w:fill="EEF2FD"/>
            <w:vAlign w:val="center"/>
          </w:tcPr>
          <w:p>
            <w:pPr>
              <w:spacing w:before="0" w:after="0"/>
            </w:pPr>
            <w:r>
              <w:rPr>
                <w:b/>
                <w:sz w:val="17"/>
                <w:szCs w:val="17"/>
              </w:rPr>
              <w:t xml:space="preserve">Action, owner and date</w:t>
            </w:r>
          </w:p>
        </w:tc>
      </w:tr>
      <w:tr>
        <w:trPr>
          <w:cantSplit/>
          <w:trHeight w:val="860" w:hRule="atLeast"/>
        </w:trPr>
        <w:tc>
          <w:tcPr>
            <w:tcW w:w="4186" w:type="dxa"/>
            <w:vAlign w:val="top"/>
          </w:tcPr>
          <w:p>
            <w:pPr>
              <w:spacing w:before="0" w:after="20"/>
            </w:pPr>
            <w:r>
              <w:rPr>
                <w:sz w:val="18"/>
                <w:szCs w:val="18"/>
              </w:rPr>
              <w:t xml:space="preserve">The record covers all staff, including agency and third-party supply staff (even for one day) and salaried trainee teachers.</w:t>
            </w:r>
          </w:p>
          <w:p>
            <w:pPr>
              <w:spacing w:before="0" w:after="0"/>
            </w:pPr>
            <w:r>
              <w:rPr>
                <w:color w:val="5A6275"/>
                <w:sz w:val="15"/>
                <w:szCs w:val="15"/>
              </w:rPr>
              <w:t xml:space="preserve">KCSIE 2026, paragraph 348</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Each required check is recorded with the date it was completed.</w:t>
            </w:r>
          </w:p>
          <w:p>
            <w:pPr>
              <w:spacing w:before="0" w:after="0"/>
            </w:pPr>
            <w:r>
              <w:rPr>
                <w:color w:val="5A6275"/>
                <w:sz w:val="15"/>
                <w:szCs w:val="15"/>
              </w:rPr>
              <w:t xml:space="preserve">KCSIE 2026, paragraph 350</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Written confirmation from agencies and third parties that they have done the same checks.</w:t>
            </w:r>
          </w:p>
          <w:p>
            <w:pPr>
              <w:spacing w:before="0" w:after="0"/>
            </w:pPr>
            <w:r>
              <w:rPr>
                <w:color w:val="5A6275"/>
                <w:sz w:val="15"/>
                <w:szCs w:val="15"/>
              </w:rPr>
              <w:t xml:space="preserve">KCSIE 2026, paragraph 364</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Section 128 checks recorded for those in management positions (independent schools and academies), and done for governors.</w:t>
            </w:r>
          </w:p>
          <w:p>
            <w:pPr>
              <w:spacing w:before="0" w:after="0"/>
            </w:pPr>
            <w:r>
              <w:rPr>
                <w:color w:val="5A6275"/>
                <w:sz w:val="15"/>
                <w:szCs w:val="15"/>
              </w:rPr>
              <w:t xml:space="preserve">KCSIE 2026, paragraphs 350 and 393</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bl>
    <w:p>
      <w:pPr>
        <w:keepNext/>
        <w:spacing w:before="200" w:after="60"/>
      </w:pPr>
      <w:r>
        <w:rPr>
          <w:b/>
          <w:sz w:val="24"/>
          <w:szCs w:val="24"/>
        </w:rPr>
        <w:t xml:space="preserve">6. Safer recruitment</w:t>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4186"/>
        <w:gridCol w:w="1255"/>
        <w:gridCol w:w="2511"/>
        <w:gridCol w:w="2514"/>
      </w:tblGrid>
      <w:tr>
        <w:trPr>
          <w:cantSplit/>
          <w:tblHeader/>
          <w:trHeight w:val="360" w:hRule="atLeast"/>
        </w:trPr>
        <w:tc>
          <w:tcPr>
            <w:tcW w:w="4186" w:type="dxa"/>
            <w:shd w:val="clear" w:color="auto" w:fill="EEF2FD"/>
            <w:vAlign w:val="center"/>
          </w:tcPr>
          <w:p>
            <w:pPr>
              <w:spacing w:before="0" w:after="0"/>
            </w:pPr>
            <w:r>
              <w:rPr>
                <w:b/>
                <w:sz w:val="17"/>
                <w:szCs w:val="17"/>
              </w:rPr>
              <w:t xml:space="preserve">What to check</w:t>
            </w:r>
          </w:p>
        </w:tc>
        <w:tc>
          <w:tcPr>
            <w:tcW w:w="1255" w:type="dxa"/>
            <w:shd w:val="clear" w:color="auto" w:fill="EEF2FD"/>
            <w:vAlign w:val="center"/>
          </w:tcPr>
          <w:p>
            <w:pPr>
              <w:spacing w:before="0" w:after="0"/>
            </w:pPr>
            <w:r>
              <w:rPr>
                <w:b/>
                <w:sz w:val="17"/>
                <w:szCs w:val="17"/>
              </w:rPr>
              <w:t xml:space="preserve">Answer</w:t>
            </w:r>
          </w:p>
        </w:tc>
        <w:tc>
          <w:tcPr>
            <w:tcW w:w="2511" w:type="dxa"/>
            <w:shd w:val="clear" w:color="auto" w:fill="EEF2FD"/>
            <w:vAlign w:val="center"/>
          </w:tcPr>
          <w:p>
            <w:pPr>
              <w:spacing w:before="0" w:after="0"/>
            </w:pPr>
            <w:r>
              <w:rPr>
                <w:b/>
                <w:sz w:val="17"/>
                <w:szCs w:val="17"/>
              </w:rPr>
              <w:t xml:space="preserve">Evidence seen</w:t>
            </w:r>
          </w:p>
        </w:tc>
        <w:tc>
          <w:tcPr>
            <w:tcW w:w="2514" w:type="dxa"/>
            <w:shd w:val="clear" w:color="auto" w:fill="EEF2FD"/>
            <w:vAlign w:val="center"/>
          </w:tcPr>
          <w:p>
            <w:pPr>
              <w:spacing w:before="0" w:after="0"/>
            </w:pPr>
            <w:r>
              <w:rPr>
                <w:b/>
                <w:sz w:val="17"/>
                <w:szCs w:val="17"/>
              </w:rPr>
              <w:t xml:space="preserve">Action, owner and date</w:t>
            </w:r>
          </w:p>
        </w:tc>
      </w:tr>
      <w:tr>
        <w:trPr>
          <w:cantSplit/>
          <w:trHeight w:val="860" w:hRule="atLeast"/>
        </w:trPr>
        <w:tc>
          <w:tcPr>
            <w:tcW w:w="4186" w:type="dxa"/>
            <w:vAlign w:val="top"/>
          </w:tcPr>
          <w:p>
            <w:pPr>
              <w:spacing w:before="0" w:after="20"/>
            </w:pPr>
            <w:r>
              <w:rPr>
                <w:sz w:val="18"/>
                <w:szCs w:val="18"/>
              </w:rPr>
              <w:t xml:space="preserve">At least one person on every interview panel has completed safer recruitment training. Names and dates: ________</w:t>
            </w:r>
          </w:p>
          <w:p>
            <w:pPr>
              <w:spacing w:before="0" w:after="0"/>
            </w:pPr>
            <w:r>
              <w:rPr>
                <w:color w:val="5A6275"/>
                <w:sz w:val="15"/>
                <w:szCs w:val="15"/>
              </w:rPr>
              <w:t xml:space="preserve">KCSIE 2026, paragraph 289 (required for maintained schools by the School Staffing (England) Regulations 2009)</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Everyone involved in recruitment has had appropriate safer recruitment training.</w:t>
            </w:r>
          </w:p>
          <w:p>
            <w:pPr>
              <w:spacing w:before="0" w:after="0"/>
            </w:pPr>
            <w:r>
              <w:rPr>
                <w:color w:val="5A6275"/>
                <w:sz w:val="15"/>
                <w:szCs w:val="15"/>
              </w:rPr>
              <w:t xml:space="preserve">KCSIE 2026, paragraph 288</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Safer recruitment policy in place, embedded and effective.</w:t>
            </w:r>
          </w:p>
          <w:p>
            <w:pPr>
              <w:spacing w:before="0" w:after="0"/>
            </w:pPr>
            <w:r>
              <w:rPr>
                <w:color w:val="5A6275"/>
                <w:sz w:val="15"/>
                <w:szCs w:val="15"/>
              </w:rPr>
              <w:t xml:space="preserve">KCSIE 2026, paragraph 126</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Recent appointment checked: at least two people shortlisted, online search considered, references taken before interview where possible.</w:t>
            </w:r>
          </w:p>
          <w:p>
            <w:pPr>
              <w:spacing w:before="0" w:after="0"/>
            </w:pPr>
            <w:r>
              <w:rPr>
                <w:color w:val="5A6275"/>
                <w:sz w:val="15"/>
                <w:szCs w:val="15"/>
              </w:rPr>
              <w:t xml:space="preserve">KCSIE 2026, paragraphs 300 to 303</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bl>
    <w:p>
      <w:pPr>
        <w:keepNext/>
        <w:spacing w:before="200" w:after="60"/>
      </w:pPr>
      <w:r>
        <w:rPr>
          <w:b/>
          <w:sz w:val="24"/>
          <w:szCs w:val="24"/>
        </w:rPr>
        <w:t xml:space="preserve">7. Low-level concerns and allegations about adults</w:t>
      </w:r>
    </w:p>
    <w:p>
      <w:pPr>
        <w:keepNext/>
        <w:spacing w:before="0" w:after="80"/>
      </w:pPr>
      <w:r>
        <w:rPr>
          <w:color w:val="3A4154"/>
          <w:sz w:val="18"/>
          <w:szCs w:val="18"/>
        </w:rPr>
        <w:t xml:space="preserve">Look at numbers and process only. Don’t ask for names.</w:t>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4186"/>
        <w:gridCol w:w="1255"/>
        <w:gridCol w:w="2511"/>
        <w:gridCol w:w="2514"/>
      </w:tblGrid>
      <w:tr>
        <w:trPr>
          <w:cantSplit/>
          <w:tblHeader/>
          <w:trHeight w:val="360" w:hRule="atLeast"/>
        </w:trPr>
        <w:tc>
          <w:tcPr>
            <w:tcW w:w="4186" w:type="dxa"/>
            <w:shd w:val="clear" w:color="auto" w:fill="EEF2FD"/>
            <w:vAlign w:val="center"/>
          </w:tcPr>
          <w:p>
            <w:pPr>
              <w:spacing w:before="0" w:after="0"/>
            </w:pPr>
            <w:r>
              <w:rPr>
                <w:b/>
                <w:sz w:val="17"/>
                <w:szCs w:val="17"/>
              </w:rPr>
              <w:t xml:space="preserve">What to check</w:t>
            </w:r>
          </w:p>
        </w:tc>
        <w:tc>
          <w:tcPr>
            <w:tcW w:w="1255" w:type="dxa"/>
            <w:shd w:val="clear" w:color="auto" w:fill="EEF2FD"/>
            <w:vAlign w:val="center"/>
          </w:tcPr>
          <w:p>
            <w:pPr>
              <w:spacing w:before="0" w:after="0"/>
            </w:pPr>
            <w:r>
              <w:rPr>
                <w:b/>
                <w:sz w:val="17"/>
                <w:szCs w:val="17"/>
              </w:rPr>
              <w:t xml:space="preserve">Answer</w:t>
            </w:r>
          </w:p>
        </w:tc>
        <w:tc>
          <w:tcPr>
            <w:tcW w:w="2511" w:type="dxa"/>
            <w:shd w:val="clear" w:color="auto" w:fill="EEF2FD"/>
            <w:vAlign w:val="center"/>
          </w:tcPr>
          <w:p>
            <w:pPr>
              <w:spacing w:before="0" w:after="0"/>
            </w:pPr>
            <w:r>
              <w:rPr>
                <w:b/>
                <w:sz w:val="17"/>
                <w:szCs w:val="17"/>
              </w:rPr>
              <w:t xml:space="preserve">Evidence seen</w:t>
            </w:r>
          </w:p>
        </w:tc>
        <w:tc>
          <w:tcPr>
            <w:tcW w:w="2514" w:type="dxa"/>
            <w:shd w:val="clear" w:color="auto" w:fill="EEF2FD"/>
            <w:vAlign w:val="center"/>
          </w:tcPr>
          <w:p>
            <w:pPr>
              <w:spacing w:before="0" w:after="0"/>
            </w:pPr>
            <w:r>
              <w:rPr>
                <w:b/>
                <w:sz w:val="17"/>
                <w:szCs w:val="17"/>
              </w:rPr>
              <w:t xml:space="preserve">Action, owner and date</w:t>
            </w:r>
          </w:p>
        </w:tc>
      </w:tr>
      <w:tr>
        <w:trPr>
          <w:cantSplit/>
          <w:trHeight w:val="860" w:hRule="atLeast"/>
        </w:trPr>
        <w:tc>
          <w:tcPr>
            <w:tcW w:w="4186" w:type="dxa"/>
            <w:vAlign w:val="top"/>
          </w:tcPr>
          <w:p>
            <w:pPr>
              <w:spacing w:before="0" w:after="20"/>
            </w:pPr>
            <w:r>
              <w:rPr>
                <w:sz w:val="18"/>
                <w:szCs w:val="18"/>
              </w:rPr>
              <w:t xml:space="preserve">There is a procedure for low-level concerns about adults (including supply staff, volunteers and contractors), set out in the staff code of conduct.</w:t>
            </w:r>
          </w:p>
          <w:p>
            <w:pPr>
              <w:spacing w:before="0" w:after="0"/>
            </w:pPr>
            <w:r>
              <w:rPr>
                <w:color w:val="5A6275"/>
                <w:sz w:val="15"/>
                <w:szCs w:val="15"/>
              </w:rPr>
              <w:t xml:space="preserve">KCSIE 2026, paragraphs 188 and 513</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Low-level concerns are recorded in writing and reviewed for patterns.</w:t>
            </w:r>
          </w:p>
          <w:p>
            <w:pPr>
              <w:spacing w:before="0" w:after="0"/>
            </w:pPr>
            <w:r>
              <w:rPr>
                <w:color w:val="5A6275"/>
                <w:sz w:val="15"/>
                <w:szCs w:val="15"/>
              </w:rPr>
              <w:t xml:space="preserve">KCSIE 2026, paragraphs 520 and 522</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There is a procedure for allegations that may meet the harm threshold, with advice from the local authority designated officer (LADO).</w:t>
            </w:r>
          </w:p>
          <w:p>
            <w:pPr>
              <w:spacing w:before="0" w:after="0"/>
            </w:pPr>
            <w:r>
              <w:rPr>
                <w:color w:val="5A6275"/>
                <w:sz w:val="15"/>
                <w:szCs w:val="15"/>
              </w:rPr>
              <w:t xml:space="preserve">KCSIE 2026, paragraphs 189 and 442</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Governors know that the chair of governors is the case manager if an allegation is made about the headteacher.</w:t>
            </w:r>
          </w:p>
          <w:p>
            <w:pPr>
              <w:spacing w:before="0" w:after="0"/>
            </w:pPr>
            <w:r>
              <w:rPr>
                <w:color w:val="5A6275"/>
                <w:sz w:val="15"/>
                <w:szCs w:val="15"/>
              </w:rPr>
              <w:t xml:space="preserve">KCSIE 2026, paragraph 440</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There is a procedure to refer to the Disclosure and Barring Service (a legal duty) and to consider a Teaching Regulation Agency referral.</w:t>
            </w:r>
          </w:p>
          <w:p>
            <w:pPr>
              <w:spacing w:before="0" w:after="0"/>
            </w:pPr>
            <w:r>
              <w:rPr>
                <w:color w:val="5A6275"/>
                <w:sz w:val="15"/>
                <w:szCs w:val="15"/>
              </w:rPr>
              <w:t xml:space="preserve">KCSIE 2026, paragraphs 190 and 191</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bl>
    <w:p>
      <w:pPr>
        <w:keepNext/>
        <w:spacing w:before="200" w:after="60"/>
      </w:pPr>
      <w:r>
        <w:rPr>
          <w:b/>
          <w:sz w:val="24"/>
          <w:szCs w:val="24"/>
        </w:rPr>
        <w:t xml:space="preserve">8. Filtering and monitoring</w:t>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2300"/>
        <w:gridCol w:w="2933"/>
        <w:gridCol w:w="2300"/>
        <w:gridCol w:w="2933"/>
      </w:tblGrid>
      <w:tr>
        <w:trPr>
          <w:cantSplit/>
          <w:trHeight w:val="480" w:hRule="atLeast"/>
        </w:trPr>
        <w:tc>
          <w:tcPr>
            <w:tcW w:w="2300" w:type="dxa"/>
            <w:shd w:val="clear" w:color="auto" w:fill="EEF2FD"/>
            <w:vAlign w:val="top"/>
          </w:tcPr>
          <w:p>
            <w:pPr>
              <w:spacing w:before="0" w:after="0"/>
            </w:pPr>
            <w:r>
              <w:rPr>
                <w:b/>
                <w:sz w:val="18"/>
                <w:szCs w:val="18"/>
              </w:rPr>
              <w:t xml:space="preserve">Date of last annual review</w:t>
            </w:r>
          </w:p>
        </w:tc>
        <w:tc>
          <w:tcPr>
            <w:tcW w:w="2933" w:type="dxa"/>
            <w:vAlign w:val="top"/>
          </w:tcPr>
          <w:p/>
        </w:tc>
        <w:tc>
          <w:tcPr>
            <w:tcW w:w="2300" w:type="dxa"/>
            <w:shd w:val="clear" w:color="auto" w:fill="EEF2FD"/>
            <w:vAlign w:val="top"/>
          </w:tcPr>
          <w:p>
            <w:pPr>
              <w:spacing w:before="0" w:after="0"/>
            </w:pPr>
            <w:r>
              <w:rPr>
                <w:b/>
                <w:sz w:val="18"/>
                <w:szCs w:val="18"/>
              </w:rPr>
              <w:t xml:space="preserve">Senior leader responsible</w:t>
            </w:r>
          </w:p>
        </w:tc>
        <w:tc>
          <w:tcPr>
            <w:tcW w:w="2933" w:type="dxa"/>
            <w:vAlign w:val="top"/>
          </w:tcPr>
          <w:p/>
        </w:tc>
      </w:tr>
    </w:tbl>
    <w:p>
      <w:pPr>
        <w:spacing w:before="0" w:after="60"/>
      </w:pPr>
      <w:r>
        <w:t xml:space="preserve"/>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4186"/>
        <w:gridCol w:w="1255"/>
        <w:gridCol w:w="2511"/>
        <w:gridCol w:w="2514"/>
      </w:tblGrid>
      <w:tr>
        <w:trPr>
          <w:cantSplit/>
          <w:tblHeader/>
          <w:trHeight w:val="360" w:hRule="atLeast"/>
        </w:trPr>
        <w:tc>
          <w:tcPr>
            <w:tcW w:w="4186" w:type="dxa"/>
            <w:shd w:val="clear" w:color="auto" w:fill="EEF2FD"/>
            <w:vAlign w:val="center"/>
          </w:tcPr>
          <w:p>
            <w:pPr>
              <w:spacing w:before="0" w:after="0"/>
            </w:pPr>
            <w:r>
              <w:rPr>
                <w:b/>
                <w:sz w:val="17"/>
                <w:szCs w:val="17"/>
              </w:rPr>
              <w:t xml:space="preserve">What to check</w:t>
            </w:r>
          </w:p>
        </w:tc>
        <w:tc>
          <w:tcPr>
            <w:tcW w:w="1255" w:type="dxa"/>
            <w:shd w:val="clear" w:color="auto" w:fill="EEF2FD"/>
            <w:vAlign w:val="center"/>
          </w:tcPr>
          <w:p>
            <w:pPr>
              <w:spacing w:before="0" w:after="0"/>
            </w:pPr>
            <w:r>
              <w:rPr>
                <w:b/>
                <w:sz w:val="17"/>
                <w:szCs w:val="17"/>
              </w:rPr>
              <w:t xml:space="preserve">Answer</w:t>
            </w:r>
          </w:p>
        </w:tc>
        <w:tc>
          <w:tcPr>
            <w:tcW w:w="2511" w:type="dxa"/>
            <w:shd w:val="clear" w:color="auto" w:fill="EEF2FD"/>
            <w:vAlign w:val="center"/>
          </w:tcPr>
          <w:p>
            <w:pPr>
              <w:spacing w:before="0" w:after="0"/>
            </w:pPr>
            <w:r>
              <w:rPr>
                <w:b/>
                <w:sz w:val="17"/>
                <w:szCs w:val="17"/>
              </w:rPr>
              <w:t xml:space="preserve">Evidence seen</w:t>
            </w:r>
          </w:p>
        </w:tc>
        <w:tc>
          <w:tcPr>
            <w:tcW w:w="2514" w:type="dxa"/>
            <w:shd w:val="clear" w:color="auto" w:fill="EEF2FD"/>
            <w:vAlign w:val="center"/>
          </w:tcPr>
          <w:p>
            <w:pPr>
              <w:spacing w:before="0" w:after="0"/>
            </w:pPr>
            <w:r>
              <w:rPr>
                <w:b/>
                <w:sz w:val="17"/>
                <w:szCs w:val="17"/>
              </w:rPr>
              <w:t xml:space="preserve">Action, owner and date</w:t>
            </w:r>
          </w:p>
        </w:tc>
      </w:tr>
      <w:tr>
        <w:trPr>
          <w:cantSplit/>
          <w:trHeight w:val="860" w:hRule="atLeast"/>
        </w:trPr>
        <w:tc>
          <w:tcPr>
            <w:tcW w:w="4186" w:type="dxa"/>
            <w:vAlign w:val="top"/>
          </w:tcPr>
          <w:p>
            <w:pPr>
              <w:spacing w:before="0" w:after="20"/>
            </w:pPr>
            <w:r>
              <w:rPr>
                <w:sz w:val="18"/>
                <w:szCs w:val="18"/>
              </w:rPr>
              <w:t xml:space="preserve">Roles and responsibilities for filtering and monitoring are assigned, including a senior leader and a governor.</w:t>
            </w:r>
          </w:p>
          <w:p>
            <w:pPr>
              <w:spacing w:before="0" w:after="0"/>
            </w:pPr>
            <w:r>
              <w:rPr>
                <w:color w:val="5A6275"/>
                <w:sz w:val="15"/>
                <w:szCs w:val="15"/>
              </w:rPr>
              <w:t xml:space="preserve">DfE filtering and monitoring standards, standard 1; KCSIE 2026, paragraph 175</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The effectiveness of filtering and monitoring has been reviewed this academic year by the senior leader responsible, with the DSL and IT support, and the review is recorded.</w:t>
            </w:r>
          </w:p>
          <w:p>
            <w:pPr>
              <w:spacing w:before="0" w:after="0"/>
            </w:pPr>
            <w:r>
              <w:rPr>
                <w:color w:val="5A6275"/>
                <w:sz w:val="15"/>
                <w:szCs w:val="15"/>
              </w:rPr>
              <w:t xml:space="preserve">KCSIE 2026, paragraph 173; DfE standard 2</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Filtering checks are done on all internet-connected devices in all relevant locations, and recorded (when, who, what was tested, actions).</w:t>
            </w:r>
          </w:p>
          <w:p>
            <w:pPr>
              <w:spacing w:before="0" w:after="0"/>
            </w:pPr>
            <w:r>
              <w:rPr>
                <w:color w:val="5A6275"/>
                <w:sz w:val="15"/>
                <w:szCs w:val="15"/>
              </w:rPr>
              <w:t xml:space="preserve">KCSIE 2026, paragraph 173; DfE standard 2</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Filtering blocks harmful and inappropriate content without unreasonably affecting teaching and learning (no “over-blocking”).</w:t>
            </w:r>
          </w:p>
          <w:p>
            <w:pPr>
              <w:spacing w:before="0" w:after="0"/>
            </w:pPr>
            <w:r>
              <w:rPr>
                <w:color w:val="5A6275"/>
                <w:sz w:val="15"/>
                <w:szCs w:val="15"/>
              </w:rPr>
              <w:t xml:space="preserve">KCSIE 2026, paragraphs 163 and 175; DfE standard 3</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Monitoring strategies meet the school’s safeguarding needs, and staff know how to report and escalate concerns.</w:t>
            </w:r>
          </w:p>
          <w:p>
            <w:pPr>
              <w:spacing w:before="0" w:after="0"/>
            </w:pPr>
            <w:r>
              <w:rPr>
                <w:color w:val="5A6275"/>
                <w:sz w:val="15"/>
                <w:szCs w:val="15"/>
              </w:rPr>
              <w:t xml:space="preserve">KCSIE 2026, paragraphs 173 and 175; DfE standard 4</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The board has reviewed the standards with IT staff and providers.</w:t>
            </w:r>
          </w:p>
          <w:p>
            <w:pPr>
              <w:spacing w:before="0" w:after="0"/>
            </w:pPr>
            <w:r>
              <w:rPr>
                <w:color w:val="5A6275"/>
                <w:sz w:val="15"/>
                <w:szCs w:val="15"/>
              </w:rPr>
              <w:t xml:space="preserve">KCSIE 2026, paragraph 177</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bl>
    <w:p>
      <w:pPr>
        <w:keepNext/>
        <w:spacing w:before="200" w:after="60"/>
      </w:pPr>
      <w:r>
        <w:rPr>
          <w:b/>
          <w:sz w:val="24"/>
          <w:szCs w:val="24"/>
        </w:rPr>
        <w:t xml:space="preserve">9. Online safety</w:t>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4186"/>
        <w:gridCol w:w="1255"/>
        <w:gridCol w:w="2511"/>
        <w:gridCol w:w="2514"/>
      </w:tblGrid>
      <w:tr>
        <w:trPr>
          <w:cantSplit/>
          <w:tblHeader/>
          <w:trHeight w:val="360" w:hRule="atLeast"/>
        </w:trPr>
        <w:tc>
          <w:tcPr>
            <w:tcW w:w="4186" w:type="dxa"/>
            <w:shd w:val="clear" w:color="auto" w:fill="EEF2FD"/>
            <w:vAlign w:val="center"/>
          </w:tcPr>
          <w:p>
            <w:pPr>
              <w:spacing w:before="0" w:after="0"/>
            </w:pPr>
            <w:r>
              <w:rPr>
                <w:b/>
                <w:sz w:val="17"/>
                <w:szCs w:val="17"/>
              </w:rPr>
              <w:t xml:space="preserve">What to check</w:t>
            </w:r>
          </w:p>
        </w:tc>
        <w:tc>
          <w:tcPr>
            <w:tcW w:w="1255" w:type="dxa"/>
            <w:shd w:val="clear" w:color="auto" w:fill="EEF2FD"/>
            <w:vAlign w:val="center"/>
          </w:tcPr>
          <w:p>
            <w:pPr>
              <w:spacing w:before="0" w:after="0"/>
            </w:pPr>
            <w:r>
              <w:rPr>
                <w:b/>
                <w:sz w:val="17"/>
                <w:szCs w:val="17"/>
              </w:rPr>
              <w:t xml:space="preserve">Answer</w:t>
            </w:r>
          </w:p>
        </w:tc>
        <w:tc>
          <w:tcPr>
            <w:tcW w:w="2511" w:type="dxa"/>
            <w:shd w:val="clear" w:color="auto" w:fill="EEF2FD"/>
            <w:vAlign w:val="center"/>
          </w:tcPr>
          <w:p>
            <w:pPr>
              <w:spacing w:before="0" w:after="0"/>
            </w:pPr>
            <w:r>
              <w:rPr>
                <w:b/>
                <w:sz w:val="17"/>
                <w:szCs w:val="17"/>
              </w:rPr>
              <w:t xml:space="preserve">Evidence seen</w:t>
            </w:r>
          </w:p>
        </w:tc>
        <w:tc>
          <w:tcPr>
            <w:tcW w:w="2514" w:type="dxa"/>
            <w:shd w:val="clear" w:color="auto" w:fill="EEF2FD"/>
            <w:vAlign w:val="center"/>
          </w:tcPr>
          <w:p>
            <w:pPr>
              <w:spacing w:before="0" w:after="0"/>
            </w:pPr>
            <w:r>
              <w:rPr>
                <w:b/>
                <w:sz w:val="17"/>
                <w:szCs w:val="17"/>
              </w:rPr>
              <w:t xml:space="preserve">Action, owner and date</w:t>
            </w:r>
          </w:p>
        </w:tc>
      </w:tr>
      <w:tr>
        <w:trPr>
          <w:cantSplit/>
          <w:trHeight w:val="860" w:hRule="atLeast"/>
        </w:trPr>
        <w:tc>
          <w:tcPr>
            <w:tcW w:w="4186" w:type="dxa"/>
            <w:vAlign w:val="top"/>
          </w:tcPr>
          <w:p>
            <w:pPr>
              <w:spacing w:before="0" w:after="20"/>
            </w:pPr>
            <w:r>
              <w:rPr>
                <w:sz w:val="18"/>
                <w:szCs w:val="18"/>
              </w:rPr>
              <w:t xml:space="preserve">Online safety runs through the safeguarding approach: policies, curriculum, staff training, the DSL’s role and work with parents.</w:t>
            </w:r>
          </w:p>
          <w:p>
            <w:pPr>
              <w:spacing w:before="0" w:after="0"/>
            </w:pPr>
            <w:r>
              <w:rPr>
                <w:color w:val="5A6275"/>
                <w:sz w:val="15"/>
                <w:szCs w:val="15"/>
              </w:rPr>
              <w:t xml:space="preserve">KCSIE 2026, paragraph 166</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An annual review of the approach to online safety, with a risk assessment of the risks pupils face, has been considered.</w:t>
            </w:r>
          </w:p>
          <w:p>
            <w:pPr>
              <w:spacing w:before="0" w:after="0"/>
            </w:pPr>
            <w:r>
              <w:rPr>
                <w:color w:val="5A6275"/>
                <w:sz w:val="15"/>
                <w:szCs w:val="15"/>
              </w:rPr>
              <w:t xml:space="preserve">KCSIE 2026, paragraph 181</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Parents are told what systems the school uses to filter and monitor online use, and what their children are asked to do online.</w:t>
            </w:r>
          </w:p>
          <w:p>
            <w:pPr>
              <w:spacing w:before="0" w:after="0"/>
            </w:pPr>
            <w:r>
              <w:rPr>
                <w:color w:val="5A6275"/>
                <w:sz w:val="15"/>
                <w:szCs w:val="15"/>
              </w:rPr>
              <w:t xml:space="preserve">KCSIE 2026, paragraph 172</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The school is mobile phone-free by default during the school day.</w:t>
            </w:r>
          </w:p>
          <w:p>
            <w:pPr>
              <w:spacing w:before="0" w:after="0"/>
            </w:pPr>
            <w:r>
              <w:rPr>
                <w:color w:val="5A6275"/>
                <w:sz w:val="15"/>
                <w:szCs w:val="15"/>
              </w:rPr>
              <w:t xml:space="preserve">KCSIE 2026, paragraph 170</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Cyber security measures considered in line with the DfE cyber security standards.</w:t>
            </w:r>
          </w:p>
          <w:p>
            <w:pPr>
              <w:spacing w:before="0" w:after="0"/>
            </w:pPr>
            <w:r>
              <w:rPr>
                <w:color w:val="5A6275"/>
                <w:sz w:val="15"/>
                <w:szCs w:val="15"/>
              </w:rPr>
              <w:t xml:space="preserve">KCSIE 2026, paragraph 178</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bl>
    <w:p>
      <w:pPr>
        <w:keepNext/>
        <w:spacing w:before="200" w:after="60"/>
      </w:pPr>
      <w:r>
        <w:rPr>
          <w:b/>
          <w:sz w:val="24"/>
          <w:szCs w:val="24"/>
        </w:rPr>
        <w:t xml:space="preserve">10. Attendance and children missing education</w:t>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4186"/>
        <w:gridCol w:w="1255"/>
        <w:gridCol w:w="2511"/>
        <w:gridCol w:w="2514"/>
      </w:tblGrid>
      <w:tr>
        <w:trPr>
          <w:cantSplit/>
          <w:tblHeader/>
          <w:trHeight w:val="360" w:hRule="atLeast"/>
        </w:trPr>
        <w:tc>
          <w:tcPr>
            <w:tcW w:w="4186" w:type="dxa"/>
            <w:shd w:val="clear" w:color="auto" w:fill="EEF2FD"/>
            <w:vAlign w:val="center"/>
          </w:tcPr>
          <w:p>
            <w:pPr>
              <w:spacing w:before="0" w:after="0"/>
            </w:pPr>
            <w:r>
              <w:rPr>
                <w:b/>
                <w:sz w:val="17"/>
                <w:szCs w:val="17"/>
              </w:rPr>
              <w:t xml:space="preserve">What to check</w:t>
            </w:r>
          </w:p>
        </w:tc>
        <w:tc>
          <w:tcPr>
            <w:tcW w:w="1255" w:type="dxa"/>
            <w:shd w:val="clear" w:color="auto" w:fill="EEF2FD"/>
            <w:vAlign w:val="center"/>
          </w:tcPr>
          <w:p>
            <w:pPr>
              <w:spacing w:before="0" w:after="0"/>
            </w:pPr>
            <w:r>
              <w:rPr>
                <w:b/>
                <w:sz w:val="17"/>
                <w:szCs w:val="17"/>
              </w:rPr>
              <w:t xml:space="preserve">Answer</w:t>
            </w:r>
          </w:p>
        </w:tc>
        <w:tc>
          <w:tcPr>
            <w:tcW w:w="2511" w:type="dxa"/>
            <w:shd w:val="clear" w:color="auto" w:fill="EEF2FD"/>
            <w:vAlign w:val="center"/>
          </w:tcPr>
          <w:p>
            <w:pPr>
              <w:spacing w:before="0" w:after="0"/>
            </w:pPr>
            <w:r>
              <w:rPr>
                <w:b/>
                <w:sz w:val="17"/>
                <w:szCs w:val="17"/>
              </w:rPr>
              <w:t xml:space="preserve">Evidence seen</w:t>
            </w:r>
          </w:p>
        </w:tc>
        <w:tc>
          <w:tcPr>
            <w:tcW w:w="2514" w:type="dxa"/>
            <w:shd w:val="clear" w:color="auto" w:fill="EEF2FD"/>
            <w:vAlign w:val="center"/>
          </w:tcPr>
          <w:p>
            <w:pPr>
              <w:spacing w:before="0" w:after="0"/>
            </w:pPr>
            <w:r>
              <w:rPr>
                <w:b/>
                <w:sz w:val="17"/>
                <w:szCs w:val="17"/>
              </w:rPr>
              <w:t xml:space="preserve">Action, owner and date</w:t>
            </w:r>
          </w:p>
        </w:tc>
      </w:tr>
      <w:tr>
        <w:trPr>
          <w:cantSplit/>
          <w:trHeight w:val="860" w:hRule="atLeast"/>
        </w:trPr>
        <w:tc>
          <w:tcPr>
            <w:tcW w:w="4186" w:type="dxa"/>
            <w:vAlign w:val="top"/>
          </w:tcPr>
          <w:p>
            <w:pPr>
              <w:spacing w:before="0" w:after="20"/>
            </w:pPr>
            <w:r>
              <w:rPr>
                <w:sz w:val="18"/>
                <w:szCs w:val="18"/>
              </w:rPr>
              <w:t xml:space="preserve">There are safeguarding arrangements for children absent from education, particularly on repeat occasions or for long periods.</w:t>
            </w:r>
          </w:p>
          <w:p>
            <w:pPr>
              <w:spacing w:before="0" w:after="0"/>
            </w:pPr>
            <w:r>
              <w:rPr>
                <w:color w:val="5A6275"/>
                <w:sz w:val="15"/>
                <w:szCs w:val="15"/>
              </w:rPr>
              <w:t xml:space="preserve">KCSIE 2026, paragraphs 123 and 221</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The school works with the local authority where absence suggests a safeguarding concern, and tells the local authority when a pupil is removed from the admission register.</w:t>
            </w:r>
          </w:p>
          <w:p>
            <w:pPr>
              <w:spacing w:before="0" w:after="0"/>
            </w:pPr>
            <w:r>
              <w:rPr>
                <w:color w:val="5A6275"/>
                <w:sz w:val="15"/>
                <w:szCs w:val="15"/>
              </w:rPr>
              <w:t xml:space="preserve">KCSIE 2026, paragraphs 221 and 223</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More than one emergency contact is held for each pupil where reasonably possible.</w:t>
            </w:r>
          </w:p>
          <w:p>
            <w:pPr>
              <w:spacing w:before="0" w:after="0"/>
            </w:pPr>
            <w:r>
              <w:rPr>
                <w:color w:val="5A6275"/>
                <w:sz w:val="15"/>
                <w:szCs w:val="15"/>
              </w:rPr>
              <w:t xml:space="preserve">KCSIE 2026, paragraph 126</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The school knows where every pupil in alternative provision is, has written confirmation of the provider’s staff checks, and reviews each placement at least every half term.</w:t>
            </w:r>
          </w:p>
          <w:p>
            <w:pPr>
              <w:spacing w:before="0" w:after="0"/>
            </w:pPr>
            <w:r>
              <w:rPr>
                <w:color w:val="5A6275"/>
                <w:sz w:val="15"/>
                <w:szCs w:val="15"/>
              </w:rPr>
              <w:t xml:space="preserve">KCSIE 2026, paragraphs 211 and 213</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bl>
    <w:p>
      <w:pPr>
        <w:keepNext/>
        <w:spacing w:before="200" w:after="60"/>
      </w:pPr>
      <w:r>
        <w:rPr>
          <w:b/>
          <w:sz w:val="24"/>
          <w:szCs w:val="24"/>
        </w:rPr>
        <w:t xml:space="preserve">11. Children with SEND, and looked-after children</w:t>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4186"/>
        <w:gridCol w:w="1255"/>
        <w:gridCol w:w="2511"/>
        <w:gridCol w:w="2514"/>
      </w:tblGrid>
      <w:tr>
        <w:trPr>
          <w:cantSplit/>
          <w:tblHeader/>
          <w:trHeight w:val="360" w:hRule="atLeast"/>
        </w:trPr>
        <w:tc>
          <w:tcPr>
            <w:tcW w:w="4186" w:type="dxa"/>
            <w:shd w:val="clear" w:color="auto" w:fill="EEF2FD"/>
            <w:vAlign w:val="center"/>
          </w:tcPr>
          <w:p>
            <w:pPr>
              <w:spacing w:before="0" w:after="0"/>
            </w:pPr>
            <w:r>
              <w:rPr>
                <w:b/>
                <w:sz w:val="17"/>
                <w:szCs w:val="17"/>
              </w:rPr>
              <w:t xml:space="preserve">What to check</w:t>
            </w:r>
          </w:p>
        </w:tc>
        <w:tc>
          <w:tcPr>
            <w:tcW w:w="1255" w:type="dxa"/>
            <w:shd w:val="clear" w:color="auto" w:fill="EEF2FD"/>
            <w:vAlign w:val="center"/>
          </w:tcPr>
          <w:p>
            <w:pPr>
              <w:spacing w:before="0" w:after="0"/>
            </w:pPr>
            <w:r>
              <w:rPr>
                <w:b/>
                <w:sz w:val="17"/>
                <w:szCs w:val="17"/>
              </w:rPr>
              <w:t xml:space="preserve">Answer</w:t>
            </w:r>
          </w:p>
        </w:tc>
        <w:tc>
          <w:tcPr>
            <w:tcW w:w="2511" w:type="dxa"/>
            <w:shd w:val="clear" w:color="auto" w:fill="EEF2FD"/>
            <w:vAlign w:val="center"/>
          </w:tcPr>
          <w:p>
            <w:pPr>
              <w:spacing w:before="0" w:after="0"/>
            </w:pPr>
            <w:r>
              <w:rPr>
                <w:b/>
                <w:sz w:val="17"/>
                <w:szCs w:val="17"/>
              </w:rPr>
              <w:t xml:space="preserve">Evidence seen</w:t>
            </w:r>
          </w:p>
        </w:tc>
        <w:tc>
          <w:tcPr>
            <w:tcW w:w="2514" w:type="dxa"/>
            <w:shd w:val="clear" w:color="auto" w:fill="EEF2FD"/>
            <w:vAlign w:val="center"/>
          </w:tcPr>
          <w:p>
            <w:pPr>
              <w:spacing w:before="0" w:after="0"/>
            </w:pPr>
            <w:r>
              <w:rPr>
                <w:b/>
                <w:sz w:val="17"/>
                <w:szCs w:val="17"/>
              </w:rPr>
              <w:t xml:space="preserve">Action, owner and date</w:t>
            </w:r>
          </w:p>
        </w:tc>
      </w:tr>
      <w:tr>
        <w:trPr>
          <w:cantSplit/>
          <w:trHeight w:val="860" w:hRule="atLeast"/>
        </w:trPr>
        <w:tc>
          <w:tcPr>
            <w:tcW w:w="4186" w:type="dxa"/>
            <w:vAlign w:val="top"/>
          </w:tcPr>
          <w:p>
            <w:pPr>
              <w:spacing w:before="0" w:after="20"/>
            </w:pPr>
            <w:r>
              <w:rPr>
                <w:sz w:val="18"/>
                <w:szCs w:val="18"/>
              </w:rPr>
              <w:t xml:space="preserve">The child protection policy reflects the extra barriers to recognising abuse in children with SEND or certain health conditions.</w:t>
            </w:r>
          </w:p>
          <w:p>
            <w:pPr>
              <w:spacing w:before="0" w:after="0"/>
            </w:pPr>
            <w:r>
              <w:rPr>
                <w:color w:val="5A6275"/>
                <w:sz w:val="15"/>
                <w:szCs w:val="15"/>
              </w:rPr>
              <w:t xml:space="preserve">KCSIE 2026, paragraph 249</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The DSL and SENCO work closely together on concerns about children with SEND.</w:t>
            </w:r>
          </w:p>
          <w:p>
            <w:pPr>
              <w:spacing w:before="0" w:after="0"/>
            </w:pPr>
            <w:r>
              <w:rPr>
                <w:color w:val="5A6275"/>
                <w:sz w:val="15"/>
                <w:szCs w:val="15"/>
              </w:rPr>
              <w:t xml:space="preserve">KCSIE 2026, paragraph 250</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A designated teacher for looked-after and previously looked-after children is appointed and trained (a requirement for maintained schools and academies).</w:t>
            </w:r>
          </w:p>
          <w:p>
            <w:pPr>
              <w:spacing w:before="0" w:after="0"/>
            </w:pPr>
            <w:r>
              <w:rPr>
                <w:color w:val="5A6275"/>
                <w:sz w:val="15"/>
                <w:szCs w:val="15"/>
              </w:rPr>
              <w:t xml:space="preserve">KCSIE 2026, paragraph 239</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Staff have the skills to keep looked-after and previously looked-after children safe, and the DSL holds each child’s social worker and Virtual School Head details.</w:t>
            </w:r>
          </w:p>
          <w:p>
            <w:pPr>
              <w:spacing w:before="0" w:after="0"/>
            </w:pPr>
            <w:r>
              <w:rPr>
                <w:color w:val="5A6275"/>
                <w:sz w:val="15"/>
                <w:szCs w:val="15"/>
              </w:rPr>
              <w:t xml:space="preserve">KCSIE 2026, paragraphs 235 to 238</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The DSL knows which children have a social worker and uses this in decisions.</w:t>
            </w:r>
          </w:p>
          <w:p>
            <w:pPr>
              <w:spacing w:before="0" w:after="0"/>
            </w:pPr>
            <w:r>
              <w:rPr>
                <w:color w:val="5A6275"/>
                <w:sz w:val="15"/>
                <w:szCs w:val="15"/>
              </w:rPr>
              <w:t xml:space="preserve">KCSIE 2026, paragraphs 218 and 219</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bl>
    <w:p>
      <w:pPr>
        <w:keepNext/>
        <w:spacing w:before="200" w:after="60"/>
      </w:pPr>
      <w:r>
        <w:rPr>
          <w:b/>
          <w:sz w:val="24"/>
          <w:szCs w:val="24"/>
        </w:rPr>
        <w:t xml:space="preserve">12. The curriculum: RSHE and teaching about safeguarding</w:t>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4186"/>
        <w:gridCol w:w="1255"/>
        <w:gridCol w:w="2511"/>
        <w:gridCol w:w="2514"/>
      </w:tblGrid>
      <w:tr>
        <w:trPr>
          <w:cantSplit/>
          <w:tblHeader/>
          <w:trHeight w:val="360" w:hRule="atLeast"/>
        </w:trPr>
        <w:tc>
          <w:tcPr>
            <w:tcW w:w="4186" w:type="dxa"/>
            <w:shd w:val="clear" w:color="auto" w:fill="EEF2FD"/>
            <w:vAlign w:val="center"/>
          </w:tcPr>
          <w:p>
            <w:pPr>
              <w:spacing w:before="0" w:after="0"/>
            </w:pPr>
            <w:r>
              <w:rPr>
                <w:b/>
                <w:sz w:val="17"/>
                <w:szCs w:val="17"/>
              </w:rPr>
              <w:t xml:space="preserve">What to check</w:t>
            </w:r>
          </w:p>
        </w:tc>
        <w:tc>
          <w:tcPr>
            <w:tcW w:w="1255" w:type="dxa"/>
            <w:shd w:val="clear" w:color="auto" w:fill="EEF2FD"/>
            <w:vAlign w:val="center"/>
          </w:tcPr>
          <w:p>
            <w:pPr>
              <w:spacing w:before="0" w:after="0"/>
            </w:pPr>
            <w:r>
              <w:rPr>
                <w:b/>
                <w:sz w:val="17"/>
                <w:szCs w:val="17"/>
              </w:rPr>
              <w:t xml:space="preserve">Answer</w:t>
            </w:r>
          </w:p>
        </w:tc>
        <w:tc>
          <w:tcPr>
            <w:tcW w:w="2511" w:type="dxa"/>
            <w:shd w:val="clear" w:color="auto" w:fill="EEF2FD"/>
            <w:vAlign w:val="center"/>
          </w:tcPr>
          <w:p>
            <w:pPr>
              <w:spacing w:before="0" w:after="0"/>
            </w:pPr>
            <w:r>
              <w:rPr>
                <w:b/>
                <w:sz w:val="17"/>
                <w:szCs w:val="17"/>
              </w:rPr>
              <w:t xml:space="preserve">Evidence seen</w:t>
            </w:r>
          </w:p>
        </w:tc>
        <w:tc>
          <w:tcPr>
            <w:tcW w:w="2514" w:type="dxa"/>
            <w:shd w:val="clear" w:color="auto" w:fill="EEF2FD"/>
            <w:vAlign w:val="center"/>
          </w:tcPr>
          <w:p>
            <w:pPr>
              <w:spacing w:before="0" w:after="0"/>
            </w:pPr>
            <w:r>
              <w:rPr>
                <w:b/>
                <w:sz w:val="17"/>
                <w:szCs w:val="17"/>
              </w:rPr>
              <w:t xml:space="preserve">Action, owner and date</w:t>
            </w:r>
          </w:p>
        </w:tc>
      </w:tr>
      <w:tr>
        <w:trPr>
          <w:cantSplit/>
          <w:trHeight w:val="860" w:hRule="atLeast"/>
        </w:trPr>
        <w:tc>
          <w:tcPr>
            <w:tcW w:w="4186" w:type="dxa"/>
            <w:vAlign w:val="top"/>
          </w:tcPr>
          <w:p>
            <w:pPr>
              <w:spacing w:before="0" w:after="20"/>
            </w:pPr>
            <w:r>
              <w:rPr>
                <w:sz w:val="18"/>
                <w:szCs w:val="18"/>
              </w:rPr>
              <w:t xml:space="preserve">Pupils are taught how to keep themselves and others safe, including online, tailored to children with SEND and other vulnerabilities.</w:t>
            </w:r>
          </w:p>
          <w:p>
            <w:pPr>
              <w:spacing w:before="0" w:after="0"/>
            </w:pPr>
            <w:r>
              <w:rPr>
                <w:color w:val="5A6275"/>
                <w:sz w:val="15"/>
                <w:szCs w:val="15"/>
              </w:rPr>
              <w:t xml:space="preserve">KCSIE 2026, paragraph 158</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Relationships (and sex) and health education follows the statutory guidance revised for September 2026.</w:t>
            </w:r>
          </w:p>
          <w:p>
            <w:pPr>
              <w:spacing w:before="0" w:after="0"/>
            </w:pPr>
            <w:r>
              <w:rPr>
                <w:color w:val="5A6275"/>
                <w:sz w:val="15"/>
                <w:szCs w:val="15"/>
              </w:rPr>
              <w:t xml:space="preserve">KCSIE 2026, paragraph 159</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A planned RSHE programme in timetabled lessons covers consent, healthy relationships, sexual harassment and online harms.</w:t>
            </w:r>
          </w:p>
          <w:p>
            <w:pPr>
              <w:spacing w:before="0" w:after="0"/>
            </w:pPr>
            <w:r>
              <w:rPr>
                <w:color w:val="5A6275"/>
                <w:sz w:val="15"/>
                <w:szCs w:val="15"/>
              </w:rPr>
              <w:t xml:space="preserve">KCSIE 2026, paragraph 160</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Staff training on online safety is joined up with curriculum planning.</w:t>
            </w:r>
          </w:p>
          <w:p>
            <w:pPr>
              <w:spacing w:before="0" w:after="0"/>
            </w:pPr>
            <w:r>
              <w:rPr>
                <w:color w:val="5A6275"/>
                <w:sz w:val="15"/>
                <w:szCs w:val="15"/>
              </w:rPr>
              <w:t xml:space="preserve">KCSIE 2026, paragraph 156</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bl>
    <w:p>
      <w:pPr>
        <w:keepNext/>
        <w:spacing w:before="200" w:after="60"/>
      </w:pPr>
      <w:r>
        <w:rPr>
          <w:b/>
          <w:sz w:val="24"/>
          <w:szCs w:val="24"/>
        </w:rPr>
        <w:t xml:space="preserve">13. Ofsted readiness: safeguarding met or not met</w:t>
      </w:r>
    </w:p>
    <w:p>
      <w:pPr>
        <w:keepNext/>
        <w:spacing w:before="0" w:after="80"/>
      </w:pPr>
      <w:r>
        <w:rPr>
          <w:color w:val="3A4154"/>
          <w:sz w:val="18"/>
          <w:szCs w:val="18"/>
        </w:rPr>
        <w:t xml:space="preserve">Under Ofsted’s renewed framework, inspectors grade safeguarding as “met” or “not met” against the safeguarding standards in the school inspection toolkit. These checks follow the toolkit’s description of “met”. Ofsted says it doesn’t need documents made specially for an inspection.</w:t>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4186"/>
        <w:gridCol w:w="1255"/>
        <w:gridCol w:w="2511"/>
        <w:gridCol w:w="2514"/>
      </w:tblGrid>
      <w:tr>
        <w:trPr>
          <w:cantSplit/>
          <w:tblHeader/>
          <w:trHeight w:val="360" w:hRule="atLeast"/>
        </w:trPr>
        <w:tc>
          <w:tcPr>
            <w:tcW w:w="4186" w:type="dxa"/>
            <w:shd w:val="clear" w:color="auto" w:fill="EEF2FD"/>
            <w:vAlign w:val="center"/>
          </w:tcPr>
          <w:p>
            <w:pPr>
              <w:spacing w:before="0" w:after="0"/>
            </w:pPr>
            <w:r>
              <w:rPr>
                <w:b/>
                <w:sz w:val="17"/>
                <w:szCs w:val="17"/>
              </w:rPr>
              <w:t xml:space="preserve">What to check</w:t>
            </w:r>
          </w:p>
        </w:tc>
        <w:tc>
          <w:tcPr>
            <w:tcW w:w="1255" w:type="dxa"/>
            <w:shd w:val="clear" w:color="auto" w:fill="EEF2FD"/>
            <w:vAlign w:val="center"/>
          </w:tcPr>
          <w:p>
            <w:pPr>
              <w:spacing w:before="0" w:after="0"/>
            </w:pPr>
            <w:r>
              <w:rPr>
                <w:b/>
                <w:sz w:val="17"/>
                <w:szCs w:val="17"/>
              </w:rPr>
              <w:t xml:space="preserve">Answer</w:t>
            </w:r>
          </w:p>
        </w:tc>
        <w:tc>
          <w:tcPr>
            <w:tcW w:w="2511" w:type="dxa"/>
            <w:shd w:val="clear" w:color="auto" w:fill="EEF2FD"/>
            <w:vAlign w:val="center"/>
          </w:tcPr>
          <w:p>
            <w:pPr>
              <w:spacing w:before="0" w:after="0"/>
            </w:pPr>
            <w:r>
              <w:rPr>
                <w:b/>
                <w:sz w:val="17"/>
                <w:szCs w:val="17"/>
              </w:rPr>
              <w:t xml:space="preserve">Evidence seen</w:t>
            </w:r>
          </w:p>
        </w:tc>
        <w:tc>
          <w:tcPr>
            <w:tcW w:w="2514" w:type="dxa"/>
            <w:shd w:val="clear" w:color="auto" w:fill="EEF2FD"/>
            <w:vAlign w:val="center"/>
          </w:tcPr>
          <w:p>
            <w:pPr>
              <w:spacing w:before="0" w:after="0"/>
            </w:pPr>
            <w:r>
              <w:rPr>
                <w:b/>
                <w:sz w:val="17"/>
                <w:szCs w:val="17"/>
              </w:rPr>
              <w:t xml:space="preserve">Action, owner and date</w:t>
            </w:r>
          </w:p>
        </w:tc>
      </w:tr>
      <w:tr>
        <w:trPr>
          <w:cantSplit/>
          <w:trHeight w:val="860" w:hRule="atLeast"/>
        </w:trPr>
        <w:tc>
          <w:tcPr>
            <w:tcW w:w="4186" w:type="dxa"/>
            <w:vAlign w:val="top"/>
          </w:tcPr>
          <w:p>
            <w:pPr>
              <w:spacing w:before="0" w:after="20"/>
            </w:pPr>
            <w:r>
              <w:rPr>
                <w:sz w:val="18"/>
                <w:szCs w:val="18"/>
              </w:rPr>
              <w:t xml:space="preserve">Leaders and governors have strategic oversight of all aspects of safeguarding, and an open culture in which safeguarding is everyone’s responsibility.</w:t>
            </w:r>
          </w:p>
          <w:p>
            <w:pPr>
              <w:spacing w:before="0" w:after="0"/>
            </w:pPr>
            <w:r>
              <w:rPr>
                <w:color w:val="5A6275"/>
                <w:sz w:val="15"/>
                <w:szCs w:val="15"/>
              </w:rPr>
              <w:t xml:space="preserve">Ofsted school inspection toolkit, “Grading safeguarding”</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Pupils are kept safe and feel safe, their voices are heard, and pupils and parents know who to go to for support.</w:t>
            </w:r>
          </w:p>
          <w:p>
            <w:pPr>
              <w:spacing w:before="0" w:after="0"/>
            </w:pPr>
            <w:r>
              <w:rPr>
                <w:color w:val="5A6275"/>
                <w:sz w:val="15"/>
                <w:szCs w:val="15"/>
              </w:rPr>
              <w:t xml:space="preserve">Ofsted toolkit, “Grading safeguarding”</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Leaders learn from safeguarding cases and incidents, are open to challenge and keep policies and processes under review.</w:t>
            </w:r>
          </w:p>
          <w:p>
            <w:pPr>
              <w:spacing w:before="0" w:after="0"/>
            </w:pPr>
            <w:r>
              <w:rPr>
                <w:color w:val="5A6275"/>
                <w:sz w:val="15"/>
                <w:szCs w:val="15"/>
              </w:rPr>
              <w:t xml:space="preserve">Ofsted toolkit, “Grading safeguarding”</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Leaders know where pupils are when they aren’t on the school site, including absent pupils and those in alternative provision.</w:t>
            </w:r>
          </w:p>
          <w:p>
            <w:pPr>
              <w:spacing w:before="0" w:after="0"/>
            </w:pPr>
            <w:r>
              <w:rPr>
                <w:color w:val="5A6275"/>
                <w:sz w:val="15"/>
                <w:szCs w:val="15"/>
              </w:rPr>
              <w:t xml:space="preserve">Ofsted toolkit, “Grading safeguarding”</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Leaders meet the statutory requirements for safer recruitment, reporting, referrals, record-keeping and the Prevent duty.</w:t>
            </w:r>
          </w:p>
          <w:p>
            <w:pPr>
              <w:spacing w:before="0" w:after="0"/>
            </w:pPr>
            <w:r>
              <w:rPr>
                <w:color w:val="5A6275"/>
                <w:sz w:val="15"/>
                <w:szCs w:val="15"/>
              </w:rPr>
              <w:t xml:space="preserve">Ofsted toolkit, “Grading safeguarding”</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r>
        <w:trPr>
          <w:cantSplit/>
          <w:trHeight w:val="860" w:hRule="atLeast"/>
        </w:trPr>
        <w:tc>
          <w:tcPr>
            <w:tcW w:w="4186" w:type="dxa"/>
            <w:vAlign w:val="top"/>
          </w:tcPr>
          <w:p>
            <w:pPr>
              <w:spacing w:before="0" w:after="20"/>
            </w:pPr>
            <w:r>
              <w:rPr>
                <w:sz w:val="18"/>
                <w:szCs w:val="18"/>
              </w:rPr>
              <w:t xml:space="preserve">Child-on-child violence, and allegations about adults, are handled swiftly and in line with local authority procedures.</w:t>
            </w:r>
          </w:p>
          <w:p>
            <w:pPr>
              <w:spacing w:before="0" w:after="0"/>
            </w:pPr>
            <w:r>
              <w:rPr>
                <w:color w:val="5A6275"/>
                <w:sz w:val="15"/>
                <w:szCs w:val="15"/>
              </w:rPr>
              <w:t xml:space="preserve">Ofsted toolkit, “Grading safeguarding”; KCSIE 2026, paragraph 193</w:t>
            </w:r>
          </w:p>
        </w:tc>
        <w:tc>
          <w:tcPr>
            <w:tcW w:w="1255" w:type="dxa"/>
            <w:vAlign w:val="top"/>
          </w:tcPr>
          <w:p>
            <w:pPr>
              <w:spacing w:before="0" w:after="20"/>
            </w:pPr>
            <w:r>
              <w:rPr>
                <w:sz w:val="17"/>
                <w:szCs w:val="17"/>
              </w:rPr>
              <w:t xml:space="preserve">☐ Yes</w:t>
            </w:r>
          </w:p>
          <w:p>
            <w:pPr>
              <w:spacing w:before="0" w:after="20"/>
            </w:pPr>
            <w:r>
              <w:rPr>
                <w:sz w:val="17"/>
                <w:szCs w:val="17"/>
              </w:rPr>
              <w:t xml:space="preserve">☐ Partly</w:t>
            </w:r>
          </w:p>
          <w:p>
            <w:pPr>
              <w:spacing w:before="0" w:after="20"/>
            </w:pPr>
            <w:r>
              <w:rPr>
                <w:sz w:val="17"/>
                <w:szCs w:val="17"/>
              </w:rPr>
              <w:t xml:space="preserve">☐ No</w:t>
            </w:r>
          </w:p>
        </w:tc>
        <w:tc>
          <w:tcPr>
            <w:tcW w:w="2511" w:type="dxa"/>
            <w:vAlign w:val="top"/>
          </w:tcPr>
          <w:p/>
        </w:tc>
        <w:tc>
          <w:tcPr>
            <w:tcW w:w="2514" w:type="dxa"/>
            <w:vAlign w:val="top"/>
          </w:tcPr>
          <w:p/>
        </w:tc>
      </w:tr>
    </w:tbl>
    <w:p>
      <w:pPr>
        <w:keepNext/>
        <w:pageBreakBefore/>
        <w:spacing w:before="0" w:after="60"/>
      </w:pPr>
      <w:r>
        <w:rPr>
          <w:b/>
          <w:sz w:val="28"/>
          <w:szCs w:val="28"/>
        </w:rPr>
        <w:t xml:space="preserve">Summary</w:t>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2300"/>
        <w:gridCol w:w="2933"/>
        <w:gridCol w:w="2300"/>
        <w:gridCol w:w="2933"/>
      </w:tblGrid>
      <w:tr>
        <w:trPr>
          <w:cantSplit/>
        </w:trPr>
        <w:tc>
          <w:tcPr>
            <w:tcW w:w="10466" w:type="dxa"/>
            <w:gridSpan w:val="4"/>
            <w:shd w:val="clear" w:color="auto" w:fill="EEF2FD"/>
            <w:vAlign w:val="top"/>
          </w:tcPr>
          <w:p>
            <w:pPr>
              <w:spacing w:before="0" w:after="0"/>
            </w:pPr>
            <w:r>
              <w:rPr>
                <w:b/>
                <w:sz w:val="18"/>
                <w:szCs w:val="18"/>
              </w:rPr>
              <w:t xml:space="preserve">What is working well</w:t>
            </w:r>
          </w:p>
        </w:tc>
      </w:tr>
      <w:tr>
        <w:trPr>
          <w:cantSplit/>
          <w:trHeight w:val="1600" w:hRule="atLeast"/>
        </w:trPr>
        <w:tc>
          <w:tcPr>
            <w:tcW w:w="10466" w:type="dxa"/>
            <w:gridSpan w:val="4"/>
            <w:vAlign w:val="top"/>
          </w:tcPr>
          <w:p/>
        </w:tc>
      </w:tr>
      <w:tr>
        <w:trPr>
          <w:cantSplit/>
        </w:trPr>
        <w:tc>
          <w:tcPr>
            <w:tcW w:w="10466" w:type="dxa"/>
            <w:gridSpan w:val="4"/>
            <w:shd w:val="clear" w:color="auto" w:fill="EEF2FD"/>
            <w:vAlign w:val="top"/>
          </w:tcPr>
          <w:p>
            <w:pPr>
              <w:spacing w:before="0" w:after="0"/>
            </w:pPr>
            <w:r>
              <w:rPr>
                <w:b/>
                <w:sz w:val="18"/>
                <w:szCs w:val="18"/>
              </w:rPr>
              <w:t xml:space="preserve">What needs to improve</w:t>
            </w:r>
          </w:p>
        </w:tc>
      </w:tr>
      <w:tr>
        <w:trPr>
          <w:cantSplit/>
          <w:trHeight w:val="1600" w:hRule="atLeast"/>
        </w:trPr>
        <w:tc>
          <w:tcPr>
            <w:tcW w:w="10466" w:type="dxa"/>
            <w:gridSpan w:val="4"/>
            <w:vAlign w:val="top"/>
          </w:tcPr>
          <w:p/>
        </w:tc>
      </w:tr>
      <w:tr>
        <w:trPr>
          <w:cantSplit/>
        </w:trPr>
        <w:tc>
          <w:tcPr>
            <w:tcW w:w="10466" w:type="dxa"/>
            <w:gridSpan w:val="4"/>
            <w:shd w:val="clear" w:color="auto" w:fill="EEF2FD"/>
            <w:vAlign w:val="top"/>
          </w:tcPr>
          <w:p>
            <w:pPr>
              <w:spacing w:before="0" w:after="0"/>
            </w:pPr>
            <w:r>
              <w:rPr>
                <w:b/>
                <w:sz w:val="18"/>
                <w:szCs w:val="18"/>
              </w:rPr>
              <w:t xml:space="preserve">Anything the full board needs to know or decide</w:t>
            </w:r>
          </w:p>
        </w:tc>
      </w:tr>
      <w:tr>
        <w:trPr>
          <w:cantSplit/>
          <w:trHeight w:val="1200" w:hRule="atLeast"/>
        </w:trPr>
        <w:tc>
          <w:tcPr>
            <w:tcW w:w="10466" w:type="dxa"/>
            <w:gridSpan w:val="4"/>
            <w:vAlign w:val="top"/>
          </w:tcPr>
          <w:p/>
        </w:tc>
      </w:tr>
    </w:tbl>
    <w:p>
      <w:pPr>
        <w:keepNext/>
        <w:spacing w:before="200" w:after="60"/>
      </w:pPr>
      <w:r>
        <w:rPr>
          <w:b/>
          <w:sz w:val="24"/>
          <w:szCs w:val="24"/>
        </w:rPr>
        <w:t xml:space="preserve">Actions</w:t>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5233"/>
        <w:gridCol w:w="1883"/>
        <w:gridCol w:w="1465"/>
        <w:gridCol w:w="1885"/>
      </w:tblGrid>
      <w:tr>
        <w:trPr>
          <w:cantSplit/>
          <w:tblHeader/>
          <w:trHeight w:val="360" w:hRule="atLeast"/>
        </w:trPr>
        <w:tc>
          <w:tcPr>
            <w:tcW w:w="5233" w:type="dxa"/>
            <w:shd w:val="clear" w:color="auto" w:fill="EEF2FD"/>
            <w:vAlign w:val="center"/>
          </w:tcPr>
          <w:p>
            <w:pPr>
              <w:spacing w:before="0" w:after="0"/>
            </w:pPr>
            <w:r>
              <w:rPr>
                <w:b/>
                <w:sz w:val="17"/>
                <w:szCs w:val="17"/>
              </w:rPr>
              <w:t xml:space="preserve">Action</w:t>
            </w:r>
          </w:p>
        </w:tc>
        <w:tc>
          <w:tcPr>
            <w:tcW w:w="1883" w:type="dxa"/>
            <w:shd w:val="clear" w:color="auto" w:fill="EEF2FD"/>
            <w:vAlign w:val="center"/>
          </w:tcPr>
          <w:p>
            <w:pPr>
              <w:spacing w:before="0" w:after="0"/>
            </w:pPr>
            <w:r>
              <w:rPr>
                <w:b/>
                <w:sz w:val="17"/>
                <w:szCs w:val="17"/>
              </w:rPr>
              <w:t xml:space="preserve">Owner</w:t>
            </w:r>
          </w:p>
        </w:tc>
        <w:tc>
          <w:tcPr>
            <w:tcW w:w="1465" w:type="dxa"/>
            <w:shd w:val="clear" w:color="auto" w:fill="EEF2FD"/>
            <w:vAlign w:val="center"/>
          </w:tcPr>
          <w:p>
            <w:pPr>
              <w:spacing w:before="0" w:after="0"/>
            </w:pPr>
            <w:r>
              <w:rPr>
                <w:b/>
                <w:sz w:val="17"/>
                <w:szCs w:val="17"/>
              </w:rPr>
              <w:t xml:space="preserve">By when</w:t>
            </w:r>
          </w:p>
        </w:tc>
        <w:tc>
          <w:tcPr>
            <w:tcW w:w="1885" w:type="dxa"/>
            <w:shd w:val="clear" w:color="auto" w:fill="EEF2FD"/>
            <w:vAlign w:val="center"/>
          </w:tcPr>
          <w:p>
            <w:pPr>
              <w:spacing w:before="0" w:after="0"/>
            </w:pPr>
            <w:r>
              <w:rPr>
                <w:b/>
                <w:sz w:val="17"/>
                <w:szCs w:val="17"/>
              </w:rPr>
              <w:t xml:space="preserve">Done (date)</w:t>
            </w:r>
          </w:p>
        </w:tc>
      </w:tr>
      <w:tr>
        <w:trPr>
          <w:cantSplit/>
          <w:trHeight w:val="700" w:hRule="atLeast"/>
        </w:trPr>
        <w:tc>
          <w:tcPr>
            <w:tcW w:w="5233" w:type="dxa"/>
            <w:vAlign w:val="top"/>
          </w:tcPr>
          <w:p/>
        </w:tc>
        <w:tc>
          <w:tcPr>
            <w:tcW w:w="1883" w:type="dxa"/>
            <w:vAlign w:val="top"/>
          </w:tcPr>
          <w:p/>
        </w:tc>
        <w:tc>
          <w:tcPr>
            <w:tcW w:w="1465" w:type="dxa"/>
            <w:vAlign w:val="top"/>
          </w:tcPr>
          <w:p/>
        </w:tc>
        <w:tc>
          <w:tcPr>
            <w:tcW w:w="1885" w:type="dxa"/>
            <w:vAlign w:val="top"/>
          </w:tcPr>
          <w:p/>
        </w:tc>
      </w:tr>
      <w:tr>
        <w:trPr>
          <w:cantSplit/>
          <w:trHeight w:val="700" w:hRule="atLeast"/>
        </w:trPr>
        <w:tc>
          <w:tcPr>
            <w:tcW w:w="5233" w:type="dxa"/>
            <w:vAlign w:val="top"/>
          </w:tcPr>
          <w:p/>
        </w:tc>
        <w:tc>
          <w:tcPr>
            <w:tcW w:w="1883" w:type="dxa"/>
            <w:vAlign w:val="top"/>
          </w:tcPr>
          <w:p/>
        </w:tc>
        <w:tc>
          <w:tcPr>
            <w:tcW w:w="1465" w:type="dxa"/>
            <w:vAlign w:val="top"/>
          </w:tcPr>
          <w:p/>
        </w:tc>
        <w:tc>
          <w:tcPr>
            <w:tcW w:w="1885" w:type="dxa"/>
            <w:vAlign w:val="top"/>
          </w:tcPr>
          <w:p/>
        </w:tc>
      </w:tr>
      <w:tr>
        <w:trPr>
          <w:cantSplit/>
          <w:trHeight w:val="700" w:hRule="atLeast"/>
        </w:trPr>
        <w:tc>
          <w:tcPr>
            <w:tcW w:w="5233" w:type="dxa"/>
            <w:vAlign w:val="top"/>
          </w:tcPr>
          <w:p/>
        </w:tc>
        <w:tc>
          <w:tcPr>
            <w:tcW w:w="1883" w:type="dxa"/>
            <w:vAlign w:val="top"/>
          </w:tcPr>
          <w:p/>
        </w:tc>
        <w:tc>
          <w:tcPr>
            <w:tcW w:w="1465" w:type="dxa"/>
            <w:vAlign w:val="top"/>
          </w:tcPr>
          <w:p/>
        </w:tc>
        <w:tc>
          <w:tcPr>
            <w:tcW w:w="1885" w:type="dxa"/>
            <w:vAlign w:val="top"/>
          </w:tcPr>
          <w:p/>
        </w:tc>
      </w:tr>
      <w:tr>
        <w:trPr>
          <w:cantSplit/>
          <w:trHeight w:val="700" w:hRule="atLeast"/>
        </w:trPr>
        <w:tc>
          <w:tcPr>
            <w:tcW w:w="5233" w:type="dxa"/>
            <w:vAlign w:val="top"/>
          </w:tcPr>
          <w:p/>
        </w:tc>
        <w:tc>
          <w:tcPr>
            <w:tcW w:w="1883" w:type="dxa"/>
            <w:vAlign w:val="top"/>
          </w:tcPr>
          <w:p/>
        </w:tc>
        <w:tc>
          <w:tcPr>
            <w:tcW w:w="1465" w:type="dxa"/>
            <w:vAlign w:val="top"/>
          </w:tcPr>
          <w:p/>
        </w:tc>
        <w:tc>
          <w:tcPr>
            <w:tcW w:w="1885" w:type="dxa"/>
            <w:vAlign w:val="top"/>
          </w:tcPr>
          <w:p/>
        </w:tc>
      </w:tr>
      <w:tr>
        <w:trPr>
          <w:cantSplit/>
          <w:trHeight w:val="700" w:hRule="atLeast"/>
        </w:trPr>
        <w:tc>
          <w:tcPr>
            <w:tcW w:w="5233" w:type="dxa"/>
            <w:vAlign w:val="top"/>
          </w:tcPr>
          <w:p/>
        </w:tc>
        <w:tc>
          <w:tcPr>
            <w:tcW w:w="1883" w:type="dxa"/>
            <w:vAlign w:val="top"/>
          </w:tcPr>
          <w:p/>
        </w:tc>
        <w:tc>
          <w:tcPr>
            <w:tcW w:w="1465" w:type="dxa"/>
            <w:vAlign w:val="top"/>
          </w:tcPr>
          <w:p/>
        </w:tc>
        <w:tc>
          <w:tcPr>
            <w:tcW w:w="1885" w:type="dxa"/>
            <w:vAlign w:val="top"/>
          </w:tcPr>
          <w:p/>
        </w:tc>
      </w:tr>
      <w:tr>
        <w:trPr>
          <w:cantSplit/>
          <w:trHeight w:val="700" w:hRule="atLeast"/>
        </w:trPr>
        <w:tc>
          <w:tcPr>
            <w:tcW w:w="5233" w:type="dxa"/>
            <w:vAlign w:val="top"/>
          </w:tcPr>
          <w:p/>
        </w:tc>
        <w:tc>
          <w:tcPr>
            <w:tcW w:w="1883" w:type="dxa"/>
            <w:vAlign w:val="top"/>
          </w:tcPr>
          <w:p/>
        </w:tc>
        <w:tc>
          <w:tcPr>
            <w:tcW w:w="1465" w:type="dxa"/>
            <w:vAlign w:val="top"/>
          </w:tcPr>
          <w:p/>
        </w:tc>
        <w:tc>
          <w:tcPr>
            <w:tcW w:w="1885" w:type="dxa"/>
            <w:vAlign w:val="top"/>
          </w:tcPr>
          <w:p/>
        </w:tc>
      </w:tr>
    </w:tbl>
    <w:p>
      <w:pPr>
        <w:keepNext/>
        <w:spacing w:before="200" w:after="60"/>
      </w:pPr>
      <w:r>
        <w:rPr>
          <w:b/>
          <w:sz w:val="24"/>
          <w:szCs w:val="24"/>
        </w:rPr>
        <w:t xml:space="preserve">Signatures</w:t>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2300"/>
        <w:gridCol w:w="2933"/>
        <w:gridCol w:w="2300"/>
        <w:gridCol w:w="2933"/>
      </w:tblGrid>
      <w:tr>
        <w:trPr>
          <w:cantSplit/>
          <w:trHeight w:val="480" w:hRule="atLeast"/>
        </w:trPr>
        <w:tc>
          <w:tcPr>
            <w:tcW w:w="2300" w:type="dxa"/>
            <w:shd w:val="clear" w:color="auto" w:fill="EEF2FD"/>
            <w:vAlign w:val="top"/>
          </w:tcPr>
          <w:p>
            <w:pPr>
              <w:spacing w:before="0" w:after="0"/>
            </w:pPr>
            <w:r>
              <w:rPr>
                <w:b/>
                <w:sz w:val="18"/>
                <w:szCs w:val="18"/>
              </w:rPr>
              <w:t xml:space="preserve">Governor signature</w:t>
            </w:r>
          </w:p>
        </w:tc>
        <w:tc>
          <w:tcPr>
            <w:tcW w:w="2933" w:type="dxa"/>
            <w:vAlign w:val="top"/>
          </w:tcPr>
          <w:p/>
        </w:tc>
        <w:tc>
          <w:tcPr>
            <w:tcW w:w="2300" w:type="dxa"/>
            <w:shd w:val="clear" w:color="auto" w:fill="EEF2FD"/>
            <w:vAlign w:val="top"/>
          </w:tcPr>
          <w:p>
            <w:pPr>
              <w:spacing w:before="0" w:after="0"/>
            </w:pPr>
            <w:r>
              <w:rPr>
                <w:b/>
                <w:sz w:val="18"/>
                <w:szCs w:val="18"/>
              </w:rPr>
              <w:t xml:space="preserve">Date</w:t>
            </w:r>
          </w:p>
        </w:tc>
        <w:tc>
          <w:tcPr>
            <w:tcW w:w="2933" w:type="dxa"/>
            <w:vAlign w:val="top"/>
          </w:tcPr>
          <w:p/>
        </w:tc>
      </w:tr>
      <w:tr>
        <w:trPr>
          <w:cantSplit/>
          <w:trHeight w:val="480" w:hRule="atLeast"/>
        </w:trPr>
        <w:tc>
          <w:tcPr>
            <w:tcW w:w="2300" w:type="dxa"/>
            <w:shd w:val="clear" w:color="auto" w:fill="EEF2FD"/>
            <w:vAlign w:val="top"/>
          </w:tcPr>
          <w:p>
            <w:pPr>
              <w:spacing w:before="0" w:after="0"/>
            </w:pPr>
            <w:r>
              <w:rPr>
                <w:b/>
                <w:sz w:val="18"/>
                <w:szCs w:val="18"/>
              </w:rPr>
              <w:t xml:space="preserve">DSL signature</w:t>
            </w:r>
          </w:p>
        </w:tc>
        <w:tc>
          <w:tcPr>
            <w:tcW w:w="2933" w:type="dxa"/>
            <w:vAlign w:val="top"/>
          </w:tcPr>
          <w:p/>
        </w:tc>
        <w:tc>
          <w:tcPr>
            <w:tcW w:w="2300" w:type="dxa"/>
            <w:shd w:val="clear" w:color="auto" w:fill="EEF2FD"/>
            <w:vAlign w:val="top"/>
          </w:tcPr>
          <w:p>
            <w:pPr>
              <w:spacing w:before="0" w:after="0"/>
            </w:pPr>
            <w:r>
              <w:rPr>
                <w:b/>
                <w:sz w:val="18"/>
                <w:szCs w:val="18"/>
              </w:rPr>
              <w:t xml:space="preserve">Date</w:t>
            </w:r>
          </w:p>
        </w:tc>
        <w:tc>
          <w:tcPr>
            <w:tcW w:w="2933" w:type="dxa"/>
            <w:vAlign w:val="top"/>
          </w:tcPr>
          <w:p/>
        </w:tc>
      </w:tr>
      <w:tr>
        <w:trPr>
          <w:cantSplit/>
          <w:trHeight w:val="480" w:hRule="atLeast"/>
        </w:trPr>
        <w:tc>
          <w:tcPr>
            <w:tcW w:w="2300" w:type="dxa"/>
            <w:shd w:val="clear" w:color="auto" w:fill="EEF2FD"/>
            <w:vAlign w:val="top"/>
          </w:tcPr>
          <w:p>
            <w:pPr>
              <w:spacing w:before="0" w:after="0"/>
            </w:pPr>
            <w:r>
              <w:rPr>
                <w:b/>
                <w:sz w:val="18"/>
                <w:szCs w:val="18"/>
              </w:rPr>
              <w:t xml:space="preserve">Headteacher signature</w:t>
            </w:r>
          </w:p>
        </w:tc>
        <w:tc>
          <w:tcPr>
            <w:tcW w:w="2933" w:type="dxa"/>
            <w:vAlign w:val="top"/>
          </w:tcPr>
          <w:p/>
        </w:tc>
        <w:tc>
          <w:tcPr>
            <w:tcW w:w="2300" w:type="dxa"/>
            <w:shd w:val="clear" w:color="auto" w:fill="EEF2FD"/>
            <w:vAlign w:val="top"/>
          </w:tcPr>
          <w:p>
            <w:pPr>
              <w:spacing w:before="0" w:after="0"/>
            </w:pPr>
            <w:r>
              <w:rPr>
                <w:b/>
                <w:sz w:val="18"/>
                <w:szCs w:val="18"/>
              </w:rPr>
              <w:t xml:space="preserve">Date</w:t>
            </w:r>
          </w:p>
        </w:tc>
        <w:tc>
          <w:tcPr>
            <w:tcW w:w="2933" w:type="dxa"/>
            <w:vAlign w:val="top"/>
          </w:tcPr>
          <w:p/>
        </w:tc>
      </w:tr>
      <w:tr>
        <w:trPr>
          <w:cantSplit/>
          <w:trHeight w:val="480" w:hRule="atLeast"/>
        </w:trPr>
        <w:tc>
          <w:tcPr>
            <w:tcW w:w="2300" w:type="dxa"/>
            <w:shd w:val="clear" w:color="auto" w:fill="EEF2FD"/>
            <w:vAlign w:val="top"/>
          </w:tcPr>
          <w:p>
            <w:pPr>
              <w:spacing w:before="0" w:after="0"/>
            </w:pPr>
            <w:r>
              <w:rPr>
                <w:b/>
                <w:sz w:val="18"/>
                <w:szCs w:val="18"/>
              </w:rPr>
              <w:t xml:space="preserve">Report to the full board on (date)</w:t>
            </w:r>
          </w:p>
        </w:tc>
        <w:tc>
          <w:tcPr>
            <w:tcW w:w="2933" w:type="dxa"/>
            <w:vAlign w:val="top"/>
          </w:tcPr>
          <w:p/>
        </w:tc>
        <w:tc>
          <w:tcPr>
            <w:tcW w:w="2300" w:type="dxa"/>
            <w:shd w:val="clear" w:color="auto" w:fill="EEF2FD"/>
            <w:vAlign w:val="top"/>
          </w:tcPr>
          <w:p>
            <w:pPr>
              <w:spacing w:before="0" w:after="0"/>
            </w:pPr>
            <w:r>
              <w:rPr>
                <w:b/>
                <w:sz w:val="18"/>
                <w:szCs w:val="18"/>
              </w:rPr>
              <w:t xml:space="preserve">Date of next visit</w:t>
            </w:r>
          </w:p>
        </w:tc>
        <w:tc>
          <w:tcPr>
            <w:tcW w:w="2933" w:type="dxa"/>
            <w:vAlign w:val="top"/>
          </w:tcPr>
          <w:p/>
        </w:tc>
      </w:tr>
    </w:tbl>
    <w:p>
      <w:pPr>
        <w:spacing w:before="200" w:after="40"/>
      </w:pPr>
      <w:r>
        <w:rPr>
          <w:b/>
          <w:color w:val="5A6275"/>
          <w:sz w:val="16"/>
          <w:szCs w:val="16"/>
        </w:rPr>
        <w:t xml:space="preserve">Based on (checked 20 October 2026):</w:t>
      </w:r>
    </w:p>
    <w:p>
      <w:pPr>
        <w:spacing w:before="0" w:after="20"/>
      </w:pPr>
      <w:r>
        <w:rPr>
          <w:color w:val="5A6275"/>
          <w:sz w:val="16"/>
          <w:szCs w:val="16"/>
        </w:rPr>
        <w:t xml:space="preserve">Keeping children safe in education 2026 (DfE, statutory guidance, in force from 1 September 2026): https://www.gov.uk/government/publications/keeping-children-safe-in-education--2</w:t>
      </w:r>
    </w:p>
    <w:p>
      <w:pPr>
        <w:spacing w:before="0" w:after="20"/>
      </w:pPr>
      <w:r>
        <w:rPr>
          <w:color w:val="5A6275"/>
          <w:sz w:val="16"/>
          <w:szCs w:val="16"/>
        </w:rPr>
        <w:t xml:space="preserve">Education Act 2002, section 175: Duties of LEAs and governing bodies in relation to welfare of children (legislation.gov.uk): https://www.legislation.gov.uk/ukpga/2002/32/section/175</w:t>
      </w:r>
    </w:p>
    <w:p>
      <w:pPr>
        <w:spacing w:before="0" w:after="20"/>
      </w:pPr>
      <w:r>
        <w:rPr>
          <w:color w:val="5A6275"/>
          <w:sz w:val="16"/>
          <w:szCs w:val="16"/>
        </w:rPr>
        <w:t xml:space="preserve">DfE: Filtering and monitoring standards for schools and colleges (updated 16 September 2026): https://www.gov.uk/guidance/meeting-digital-and-technology-standards-in-schools-and-colleges/filtering-and-monitoring-standards-for-schools-and-colleges</w:t>
      </w:r>
    </w:p>
    <w:p>
      <w:pPr>
        <w:spacing w:before="0" w:after="20"/>
      </w:pPr>
      <w:r>
        <w:rPr>
          <w:color w:val="5A6275"/>
          <w:sz w:val="16"/>
          <w:szCs w:val="16"/>
        </w:rPr>
        <w:t xml:space="preserve">Ofsted: State-funded school inspection toolkit, v2.0 (updated June 2026, for use on inspections from 7 September 2026): https://www.gov.uk/government/publications/school-inspection-toolkit-operating-guide-and-information</w:t>
      </w:r>
    </w:p>
    <w:p>
      <w:pPr>
        <w:spacing w:before="80" w:after="0"/>
      </w:pPr>
      <w:r>
        <w:rPr>
          <w:color w:val="5A6275"/>
          <w:sz w:val="16"/>
          <w:szCs w:val="16"/>
        </w:rPr>
        <w:t xml:space="preserve">Free template from Pupil Protect, pupilprotect.co.uk/tools. If your local authority or trust requires its own section 175 audit format, use that. Guidance, not legal advice.</w:t>
      </w:r>
    </w:p>
    <w:sectPr>
      <w:headerReference w:type="default" r:id="rIdHdr"/>
      <w:footerReference w:type="default" r:id="rIdFtr"/>
      <w:pgSz w:w="11906" w:h="16838"/>
      <w:pgMar w:top="720" w:right="720" w:bottom="720" w:left="720" w:header="360" w:footer="36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10466"/>
      </w:tabs>
      <w:spacing w:after="0"/>
    </w:pPr>
    <w:r>
      <w:rPr>
        <w:color w:val="5A6275"/>
        <w:sz w:val="16"/>
        <w:szCs w:val="16"/>
      </w:rPr>
      <w:t xml:space="preserve">Free template from Pupil Protect · pupilprotect.co.uk/tools</w:t>
    </w:r>
    <w:r>
      <w:tab/>
    </w:r>
    <w:r>
      <w:rPr>
        <w:color w:val="5A6275"/>
        <w:sz w:val="16"/>
        <w:szCs w:val="16"/>
      </w:rPr>
      <w:t xml:space="preserve">Page </w:t>
    </w:r>
    <w:r>
      <w:rPr>
        <w:color w:val="5A6275"/>
        <w:sz w:val="16"/>
      </w:rPr>
      <w:fldChar w:fldCharType="begin"/>
    </w:r>
    <w:r>
      <w:rPr>
        <w:color w:val="5A6275"/>
        <w:sz w:val="16"/>
      </w:rPr>
      <w:instrText xml:space="preserve"> PAGE </w:instrText>
    </w:r>
    <w:r>
      <w:rPr>
        <w:color w:val="5A6275"/>
        <w:sz w:val="16"/>
      </w:rPr>
      <w:fldChar w:fldCharType="separate"/>
    </w:r>
    <w:r>
      <w:rPr>
        <w:color w:val="5A6275"/>
        <w:sz w:val="16"/>
      </w:rPr>
      <w:t>1</w:t>
    </w:r>
    <w:r>
      <w:rPr>
        <w:color w:val="5A6275"/>
        <w:sz w:val="16"/>
      </w:rPr>
      <w:fldChar w:fldCharType="end"/>
    </w:r>
    <w:r>
      <w:rPr>
        <w:color w:val="5A6275"/>
        <w:sz w:val="16"/>
        <w:szCs w:val="16"/>
      </w:rPr>
      <w:t xml:space="preserve"> of </w:t>
    </w:r>
    <w:r>
      <w:rPr>
        <w:color w:val="5A6275"/>
        <w:sz w:val="16"/>
      </w:rPr>
      <w:fldChar w:fldCharType="begin"/>
    </w:r>
    <w:r>
      <w:rPr>
        <w:color w:val="5A6275"/>
        <w:sz w:val="16"/>
      </w:rPr>
      <w:instrText xml:space="preserve"> NUMPAGES </w:instrText>
    </w:r>
    <w:r>
      <w:rPr>
        <w:color w:val="5A6275"/>
        <w:sz w:val="16"/>
      </w:rPr>
      <w:fldChar w:fldCharType="separate"/>
    </w:r>
    <w:r>
      <w:rPr>
        <w:color w:val="5A6275"/>
        <w:sz w:val="16"/>
      </w:rPr>
      <w:t>1</w:t>
    </w:r>
    <w:r>
      <w:rPr>
        <w:color w:val="5A6275"/>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10466"/>
      </w:tabs>
      <w:spacing w:after="0"/>
    </w:pPr>
    <w:r>
      <w:rPr>
        <w:b/>
        <w:color w:val="486FE4"/>
        <w:sz w:val="22"/>
        <w:szCs w:val="22"/>
      </w:rPr>
      <w:t xml:space="preserve">Pupil Protect</w:t>
    </w:r>
    <w:r>
      <w:tab/>
    </w:r>
    <w:r>
      <w:rPr>
        <w:color w:val="5A6275"/>
        <w:sz w:val="16"/>
        <w:szCs w:val="16"/>
      </w:rPr>
      <w:t xml:space="preserve">Free template · pupilprotect.co.uk/tools</w:t>
    </w:r>
  </w:p>
</w:hdr>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80" w:line="252" w:lineRule="auto"/>
      </w:pPr>
    </w:pPrDefault>
  </w:docDefaults>
  <w:style w:type="paragraph" w:default="1" w:styleId="Normal">
    <w:name w:val="Normal"/>
    <w:qFormat/>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Hdr" Type="http://schemas.openxmlformats.org/officeDocument/2006/relationships/header" Target="header1.xml"/><Relationship Id="rIdFtr" Type="http://schemas.openxmlformats.org/officeDocument/2006/relationships/footer" Target="footer1.xml"/></Relationships>
</file>